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08/BTNN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yêu cầu cung cấp tài liệu, chứng cứ phục vụ việc xác minh thiệt hại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##TenCoQuanToChucNhanYeuCau##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##DiaChiCoQuanToChucNhanYeuCau##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Hiện nay, ##TenCoQuanGiaiQuyetBoiThuong## đang thụ lý, giải quyết yêu cầu bồi thường của Ông/Bà ##TenNguoiYeuCauBoiThuong## đối với vụ việc ##TrichYeuVuViecYeuCau##.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Để có cơ sở xác minh thiệt hại và giải quyết yêu cầu bồi thường theo đúng quy định của pháp luật, căn cứ khoản 1 Điều 45 Luật Trách nhiệm bồi thường của Nhà nước, ##TenCoQuanGiaiQuyetBoiThuong## đề nghị ##TenCoQuanToChucNhanYeuCau## cung cấp các tài liệu, chứng cứ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##DanhSachTaiLieuChungCuYeuCau##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Tài liệu, chứng cứ đề nghị gửi về ##TenCoQuanGiaiQuyetBoiThuong## (Địa chỉ: ##DiaChiCoQuanGiaiQuyetBoiThuong##) trước ngày ##ThoiHanCungCapTaiLieu##./.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