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20/BTNN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Hủy quyết định giải quyết bồi thường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##CanCuKhoanDieu48## Điều 48 Luật Trách nhiệm bồi thường của Nhà nước năm 2017 (được sửa đổi, bổ sung bởi Luật số 15/2026/QH16);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văn bản xác định trường hợp hủy số ##SoKyHieuVanBanXacDinh## ngày ##NgayBanHanhVanBanXacDinh## của ##CoQuanBanHanhVanBanXacDinh##,</w:t>
      </w:r>
    </w:p>
    <w:p>
      <w:pPr>
        <w:jc w:val="center"/>
        <w:spacing w:after="120" w:line="276" w:lineRule="auto"/>
      </w:pPr>
      <w:r>
        <w:rPr>
          <w:b/>
          <w:sz w:val="28"/>
          <w:szCs w:val="28"/>
        </w:rPr>
        <w:t xml:space="preserve">QUYẾT ĐỊNH: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1. Hủy Quyết định giải quyết bồi thường số ##SoQDGiaiQuyetBiHuy## ngày ##NgayBanHanhQDBiHuy## của ##CoQuanBanHanhQDBiHuy## vì ##LyDoHuyQuyetDinh##.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2. ##HauQuaPhapLyVaBienPhapXuLy## đối với vụ việc yêu cầu bồi thường của Ông/Bà ##TenNguoiYeuCauBoiThuong##.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##NoiDungGiaiQuyetLaiChiTiet##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3. Quyết định này có hiệu lực kể từ ngày ##NgayHieuLucQDHuy##.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4. Ông/Bà ##TenNguoiYeuCauBoiThuong## và cơ quan, tổ chức, cá nhân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Điều 4;</w:t>
            </w:r>
          </w:p>
          <w:p>
            <w:r>
              <w:rPr>
                <w:sz w:val="22"/>
                <w:szCs w:val="22"/>
              </w:rPr>
              <w:t xml:space="preserve">- ##TenCoQuanQuanLyNhaNuocBTNN##;</w:t>
            </w:r>
          </w:p>
          <w:p>
            <w:r>
              <w:rPr>
                <w:sz w:val="22"/>
                <w:szCs w:val="22"/>
              </w:rPr>
              <w:t xml:space="preserve">- ##TenNguoiThiHanhCongVuGayThietHai##;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