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34/BTNN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BIÊN BẢN LÀM VIỆC</w:t>
      </w:r>
    </w:p>
    <w:p>
      <w:pPr>
        <w:spacing w:after="240"/>
        <w:jc w:val="center"/>
      </w:pPr>
      <w:r>
        <w:rPr>
          <w:b/>
          <w:sz w:val="28"/>
          <w:szCs w:val="28"/>
        </w:rPr>
        <w:t>Của Hội đồng xem xét trách nhiệm hoàn trả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Vào hồi ##ThoiGianBatDauHop##, tại ##DiaDiemHop##.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Hội đồng xem xét trách nhiệm hoàn trả (được thành lập theo Quyết định số ##SoQDThanhLapHoiDong## ngày ##NgayThanhLapHoiDong## của ##CoQuanThanhLapHoiDong##) đã tiến hành phiên họp để xem xét trách nhiệm hoàn trả trong vụ việc yêu cầu bồi thường của Ông/Bà ##TenNguoiYeuCauBoiThuong##.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I. THÀNH PHẦN THAM DỰ: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##ThanhPhanHoiDongThamDu##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II. NỘI DUNG PHIÊN HỌP: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1. Ý kiến của người thi hành công vụ gây thiệt hại: ##YKienNguoiThiHanhCongVu##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2. Ý kiến của các thành viên Hội đồng: ##YKienCacThanhVienHoiDong##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III. KẾT LUẬN CỦA HỘI ĐỒNG: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Mức độ lỗi của người thi hành công vụ: ##KetLuanMucDoLoi##;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Mức tiền kiến nghị hoàn trả: ##KienNghiSoTienHoanTra## đồng (Bằng chữ: ##KienNghiSoTienHoanTraBangChu##);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Phương thức hoàn trả kiến nghị: ##KienNghiPhuongThucHoanTra##.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Cuộc họp kết thúc vào hồi ##ThoiGianKetThucHop## cùng ngày. Biên bản đã được các thành viên dự họp thông qua và ký tên dưới đây./.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Lưu: Hồ sơ Hội đồng.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CHỦ TỊCH HỘI ĐỒNG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##ChuTichHoiDong##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