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04/BTNN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##TieuDeThongBaoThuLy##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Ngày ##NgayTiepNhan##, ##TenCoQuanGiaiQuyetBoiThuong## đã nhận được hồ sơ của Ông/Bà yêu cầu ##TenCoQuanGiaiQuyetBoiThuong## giải quyết bồi thường.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Sau khi xem xét hồ sơ yêu cầu bồi thường của Ông/Bà, ##TenCoQuanGiaiQuyetBoiThuong## nhận thấy: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##NoiDungThongBaoThuLy##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##TenCoQuanQuanLyNhaNuocBTNN## (để biết);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