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22/BTNN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Hoãn giải quyết bồi thường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Căn cứ Điều 49 Luật Trách nhiệm bồi thường của Nhà nước năm 2017 số 10/2017/QH14 (được sửa đổi, bổ sung bởi Luật số 15/2026/QH16);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Căn cứ tài liệu, chứng cứ xác định lý do hoãn ngày ##NgayXacDinhLyDoHoan##;</w:t>
      </w:r>
    </w:p>
    <w:p>
      <w:pPr>
        <w:jc w:val="center"/>
        <w:spacing w:after="120" w:line="276" w:lineRule="auto"/>
      </w:pPr>
      <w:r>
        <w:rPr>
          <w:b/>
          <w:sz w:val="28"/>
          <w:szCs w:val="28"/>
        </w:rPr>
        <w:t xml:space="preserve">QUYẾT ĐỊNH: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1. Hoãn giải quyết yêu cầu bồi thường của Ông/Bà ##TenNguoiYeuCauBoiThuong##. Địa chỉ: ##DiaChiNguoiYeuCauBoiThuong## vì lý do: ##LyDoHoanGiaiQuyet##. Thời gian hoãn: ##ThoiGianHoanDuKien##.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2. Quyết định này có hiệu lực kể từ ngày ký.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3. Ông/Bà ##TenNguoiYeuCauBoiThuong## và cơ quan, tổ chức, cá nhân có liên quan chịu trách nhiệm thi hành Quyết định này./.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Điều 3;</w:t>
            </w:r>
          </w:p>
          <w:p>
            <w:r>
              <w:rPr>
                <w:sz w:val="22"/>
                <w:szCs w:val="22"/>
              </w:rPr>
              <w:t xml:space="preserve">- ##TenCoQuanQuanLyNhaNuocBTNN##;</w:t>
            </w:r>
          </w:p>
          <w:p>
            <w:r>
              <w:rPr>
                <w:sz w:val="22"/>
                <w:szCs w:val="22"/>
              </w:rPr>
              <w:t xml:space="preserve">- ##HoTenNguoiGiaiQuyet##;</w:t>
            </w:r>
          </w:p>
          <w:p>
            <w:r>
              <w:rPr>
                <w:sz w:val="22"/>
                <w:szCs w:val="22"/>
              </w:rPr>
              <w:t xml:space="preserve">- ##TenNguoiThiHanhCongVuGayThietHai##;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##ChucVuNguoiDungDau##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tên,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