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39/BTNN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Đình chỉ việc xem xét trách nhiệm hoàn trả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Căn cứ khoản 2 Điều 69 Luật Trách nhiệm bồi thường của Nhà nước số 10/2017/QH14 (đã được sửa đổi, bổ sung bởi Luật số 15/2026/QH16);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Căn cứ văn bản thu hồi, hủy bỏ văn bản làm căn cứ yêu cầu bồi thường số ##SoVBThuHoiCanCu## ngày ##NgayVBThuHoiCanCu## của ##CoQuanBanHanhVBThuHoi##;</w:t>
      </w:r>
    </w:p>
    <w:p>
      <w:pPr>
        <w:jc w:val="center"/>
        <w:spacing w:after="120" w:line="276" w:lineRule="auto"/>
      </w:pPr>
      <w:r>
        <w:rPr>
          <w:b/>
          <w:sz w:val="28"/>
          <w:szCs w:val="28"/>
        </w:rPr>
        <w:t xml:space="preserve">QUYẾT ĐỊNH: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1. Đình chỉ việc xác định trách nhiệm hoàn trả trong vụ việc yêu cầu bồi thường của Ông/Bà ##TenNguoiBiThietHai## vì văn bản số ##SoKyHieuVanBanCanCu## ngày ##NgayBanHanhVanBanCanCu## của ##CoQuanBanHanhVanBanCanCu## không còn là văn bản làm căn cứ yêu cầu bồi thường.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2. Quyết định này có hiệu lực kể từ ngày ký./.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- ##TenNguoiThiHanhCongVu##;</w:t>
            </w:r>
          </w:p>
          <w:p>
            <w:r>
              <w:rPr>
                <w:sz w:val="22"/>
                <w:szCs w:val="22"/>
              </w:rPr>
              <w:t xml:space="preserve">- ##TenCoQuanQuanLyNhaNuocBTNN##;</w:t>
            </w:r>
          </w:p>
          <w:p>
            <w:r>
              <w:rPr>
                <w:sz w:val="22"/>
                <w:szCs w:val="22"/>
              </w:rPr>
              <w:t xml:space="preserve">- Lưu: VT, HSVV.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##ChucVuNguoiDungDau##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tên,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