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36/BTNN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Hoàn trả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khoản 3, 4 Điều 66 và Điều 67, Điều 68 Luật Trách nhiệm bồi thường của Nhà nước năm 2017 số 10/2017/QH14 (được sửa đổi, bổ sung bởi Luật số 15/2026/QH16);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Nghị định số ##SoHieuNghiDinh## ngày ##NgayBanHanhNghiDinh## của Chính phủ quy định chi tiết một số điều và biện pháp thi hành Luật Trách nhiệm bồi thường của Nhà nước;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Quyết định thành lập Hội đồng xem xét trách nhiệm hoàn trả số ##SoQDThanhLapHoiDong## ngày ##NgayThanhLapHoiDong## của ##CoQuanThanhLapHoiDong##;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Xét kiến nghị của Hội đồng xem xét trách nhiệm hoàn trả,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1. Các Ông/Bà có tên sau đây có trách nhiệm hoàn trả cho ngân sách Nhà nước như sau: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##BatDauKhoiCanBo##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##SttCanBo##. Ông/Bà ##HoTenCanBo##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Chức vụ: ##ChucVuCanBo##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Đơn vị công tác: ##DonViCanBo##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Mức độ lỗi: ##MucDoLoi##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Số tiền hoàn trả: ##SoTienHoanTra##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(Viết bằng chữ ##SoTienHoanTraBangChu##)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Hoãn thực hiện việc hoàn trả (nếu có): ##DieuKienHoanHoanTra##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Giảm mức hoàn trả (nếu có) ##GiamMucHoanTra##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Miễn hoàn trả (nếu có) ##MienHoanTra##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Phương thức thực hiện hoàn trả: ##PhuongThucHoanTra##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##KetThucKhoiCanBo##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2. Quyết định này có hiệu lực kể từ ngày ký.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3. Các Ông/Bà có tên tại Điều 1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3;</w:t>
            </w:r>
          </w:p>
          <w:p>
            <w:r>
              <w:rPr>
                <w:sz w:val="22"/>
                <w:szCs w:val="22"/>
              </w:rPr>
              <w:t xml:space="preserve">##NoiNhanCoQuanTraLuong##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