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26"/>
          <w:szCs w:val="26"/>
        </w:rPr>
        <w:t>Mẫu số 21/BTNN</w:t>
      </w:r>
    </w:p>
    <w:p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>
        <w:tc>
          <w:tcPr>
            <w:tcW w:w="3800" w:type="dxa"/>
          </w:tcPr>
          <w:p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>
      <w:pPr>
        <w:spacing w:before="240"/>
        <w:jc w:val="center"/>
      </w:pPr>
      <w:r>
        <w:rPr>
          <w:b/>
          <w:sz w:val="28"/>
          <w:szCs w:val="28"/>
        </w:rPr>
        <w:t>QUYẾT ĐỊNH</w:t>
      </w:r>
    </w:p>
    <w:p>
      <w:pPr>
        <w:spacing w:after="240"/>
        <w:jc w:val="center"/>
      </w:pPr>
      <w:r>
        <w:rPr>
          <w:b/>
          <w:sz w:val="28"/>
          <w:szCs w:val="28"/>
        </w:rPr>
        <w:t>Sửa chữa, bổ sung quyết định giải quyết bồi thường</w:t>
      </w:r>
    </w:p>
    <w:p>
      <w:pPr>
        <w:jc w:val="center"/>
        <w:spacing w:after="120" w:line="276" w:lineRule="auto"/>
      </w:pPr>
      <w:r>
        <w:rPr>
          <w:b/>
          <w:caps/>
          <w:sz w:val="28"/>
          <w:szCs w:val="28"/>
        </w:rPr>
        <w:t xml:space="preserve">##ChucVuNguoiDungDau##</w:t>
      </w:r>
    </w:p>
    <w:p>
      <w:pPr>
        <w:spacing w:after="120" w:line="276" w:lineRule="auto"/>
        <w:ind w:firstLine="567"/>
        <w:jc w:val="both"/>
      </w:pPr>
      <w:r>
        <w:rPr>
          <w:i/>
          <w:sz w:val="28"/>
          <w:szCs w:val="28"/>
        </w:rPr>
        <w:t xml:space="preserve">Căn cứ khoản 4, 5 Điều 48 Luật Trách nhiệm bồi thường của Nhà nước năm 2017,</w:t>
      </w:r>
    </w:p>
    <w:p>
      <w:pPr>
        <w:spacing w:after="120" w:line="276" w:lineRule="auto"/>
        <w:jc w:val="center"/>
      </w:pPr>
      <w:r>
        <w:rPr>
          <w:b/>
          <w:sz w:val="28"/>
          <w:szCs w:val="28"/>
        </w:rPr>
        <w:t xml:space="preserve">QUYẾT ĐỊNH: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1. Sửa chữa, bổ sung Quyết định giải quyết bồi thường số ##SoQDDuocSuaDoiBoSung## ngày ##NgayBanHanhQDCu## của ##CoQuanBanHanhQDCu## như sau: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##NoiDungSuaChuaBoSung##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2. Quyết định này có hiệu lực kể từ ngày ##NgayCoHieuLuc##.</w:t>
      </w:r>
    </w:p>
    <w:p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Điều 3. Ông/Bà ##TenNguoiYeuCauBoiThuong## và cơ quan, tổ chức, cá nhân có liên quan chịu trách nhiệm thi hành Quyết định này./.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>
        <w:trPr>
          <w:cantSplit/>
        </w:trPr>
        <w:tc>
          <w:tcPr>
            <w:tcW w:w="4209" w:type="dxa"/>
          </w:tcPr>
          <w:p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r>
              <w:rPr>
                <w:sz w:val="22"/>
                <w:szCs w:val="22"/>
              </w:rPr>
              <w:t xml:space="preserve">##NoiNhan##</w:t>
            </w:r>
          </w:p>
        </w:tc>
        <w:tc>
          <w:tcPr>
            <w:tcW w:w="5146" w:type="dxa"/>
          </w:tcPr>
          <w:p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##ChucVuNguoiKy##</w:t>
            </w:r>
          </w:p>
          <w:p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 và đóng dấu)</w:t>
            </w:r>
          </w:p>
          <w:p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sectPr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