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32/BTNN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THÔNG BÁO</w:t>
      </w:r>
    </w:p>
    <w:p>
      <w:pPr>
        <w:spacing w:after="240"/>
        <w:jc w:val="center"/>
      </w:pPr>
      <w:r>
        <w:rPr>
          <w:b/>
          <w:sz w:val="28"/>
          <w:szCs w:val="28"/>
        </w:rPr>
        <w:t>Về việc chi trả tiền bồi thường</w:t>
      </w:r>
    </w:p>
    <w:p>
      <w:pPr>
        <w:jc w:val="both"/>
        <w:spacing w:after="120" w:line="276" w:lineRule="auto"/>
      </w:pPr>
      <w:r>
        <w:rPr>
          <w:b/>
          <w:sz w:val="28"/>
          <w:szCs w:val="28"/>
        </w:rPr>
        <w:t xml:space="preserve">Kính gửi: ##TenNguoiYeuCauBoiThuong##</w:t>
      </w:r>
    </w:p>
    <w:p>
      <w:pPr>
        <w:jc w:val="both"/>
        <w:spacing w:after="120" w:line="276" w:lineRule="auto"/>
      </w:pPr>
      <w:r>
        <w:rPr>
          <w:sz w:val="28"/>
          <w:szCs w:val="28"/>
        </w:rPr>
        <w:t xml:space="preserve">Địa chỉ: ##DiaChiNguoiYeuCauBoiThuong##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Căn cứ theo quy định tại Điều 62 Luật Trách nhiệm bồi thường của Nhà nước năm 2017 số 10/2017/QH14 (được sửa đổi, bổ sung bởi Luật số 15/2026/QH16); ##CanCuChiTraBoiThuong##, ##TenCoQuanGiaiQuyetBoiThuong## sẽ chi trả tiền bồi thường cho Ông/Bà như sau: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##NoiDungChiTra##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Hết thời hạn 3 năm, kể từ ngày nhận được Thông báo này mà Ông/Bà không nhận tiền bồi thường, ##TenCoQuanGiaiQuyetBoiThuong## thực hiện thủ tục trả lại ngân sách nhà nước đối với số tiền bồi thường của Ông/Bà theo quy định tại khoản 3 Điều 62 Luật Trách nhiệm bồi thường của Nhà nước (được sửa đổi, bổ sung bởi Luật số 15/2026/QH16)./.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##NoiNhan##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