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37/BTNN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Giảm mức hoàn trả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 xml:space="preserve">Căn cứ khoản 4 Điều 65 Luật Trách nhiệm bồi thường của Nhà nước số 10/2017/QH14 (đã được sửa đổi, bổ sung bởi Luật số 15/2026/QH16);</w:t>
      </w:r>
    </w:p>
    <w:p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 xml:space="preserve">Căn cứ Quyết định giải quyết bồi thường số ##SoQDGiaiQuyetBoiThuong## ngày ##NgayQDGiaiQuyetBoiThuong## đối với vụ việc yêu cầu bồi thường của ##TenNguoiYeuCauBoiThuong##;</w:t>
      </w:r>
    </w:p>
    <w:p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 xml:space="preserve">Căn cứ Quyết định hoàn trả số ##SoQDHoanTra## ngày ##NgayQDHoanTra##;</w:t>
      </w:r>
    </w:p>
    <w:p>
      <w:pPr>
        <w:spacing w:after="120" w:line="276" w:lineRule="auto"/>
        <w:jc w:val="center"/>
      </w:pPr>
      <w:r>
        <w:rPr>
          <w:b/>
          <w:sz w:val="28"/>
          <w:szCs w:val="28"/>
        </w:rPr>
        <w:t xml:space="preserve">QUYẾT ĐỊNH: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Điều 1. Giảm mức hoàn trả cho Ông/Bà ##TenNguoiThiHanhCongVu## do ##LyDoGiamMucHoanTra## cụ thể như sau: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Mức độ lỗi: ##MucDoLoi##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Số tiền phải hoàn trả theo Quyết định hoàn trả số ##SoQDHoanTra## ngày ##NgayQDHoanTra##: ##SoTienHoanTraBanDau## đồng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(Bằng chữ ##SoTienHoanTraBanDauBangChu##)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Số tiền hoàn trả được giảm: ##SoTienHoanTraDuocGiam## đồng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Số tiền còn phải hoàn trả: ##SoTienConPhaiHoanTra## đồng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(Bằng chữ ##SoTienConPhaiHoanTraBangChu##)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Phương thức hoàn trả: ##PhuongThucHoanTra##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Điều 2. Quyết định này có hiệu lực kể từ ngày ký. Ông/Bà có tên tại Điều 1 Quyết định này và các cơ quan, tổ chức có liên quan chịu trách nhiệm thi hành Quyết định này.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Điều 1 (để thực hiện);</w:t>
            </w:r>
          </w:p>
          <w:p>
            <w:r>
              <w:rPr>
                <w:sz w:val="22"/>
                <w:szCs w:val="22"/>
              </w:rPr>
              <w:t xml:space="preserve">- ##TenCoQuanQuanLyNhaNuocBTNN##;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##ChucVuNguoiKy##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 và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