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04/BTNN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THÔNG BÁO</w:t>
      </w:r>
    </w:p>
    <w:p>
      <w:pPr>
        <w:spacing w:after="240"/>
        <w:jc w:val="center"/>
      </w:pPr>
      <w:r>
        <w:rPr>
          <w:b/>
          <w:sz w:val="28"/>
          <w:szCs w:val="28"/>
        </w:rPr>
        <w:t>Về việc ##TieuDeThongBaoThuLy##</w:t>
      </w:r>
    </w:p>
    <w:p>
      <w:pPr>
        <w:jc w:val="both"/>
        <w:spacing w:after="120" w:line="276" w:lineRule="auto"/>
      </w:pPr>
      <w:r>
        <w:rPr>
          <w:b/>
          <w:sz w:val="28"/>
          <w:szCs w:val="28"/>
        </w:rPr>
        <w:t xml:space="preserve">Kính gửi: ##TenNguoiYeuCauBoiThuong##</w:t>
      </w:r>
    </w:p>
    <w:p>
      <w:pPr>
        <w:jc w:val="both"/>
        <w:spacing w:after="120" w:line="276" w:lineRule="auto"/>
      </w:pPr>
      <w:r>
        <w:rPr>
          <w:sz w:val="28"/>
          <w:szCs w:val="28"/>
        </w:rPr>
        <w:t xml:space="preserve">Địa chỉ: ##DiaChiNguoiYeuCauBoiThuong##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Ngày ##NgayTiepNhan##, ##TenCoQuanGiaiQuyetBoiThuong## đã nhận được hồ sơ của Ông/Bà yêu cầu ##TenCoQuanGiaiQuyetBoiThuong## giải quyết bồi thường.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Sau khi xem xét hồ sơ yêu cầu bồi thường của Ông/Bà, ##TenCoQuanGiaiQuyetBoiThuong## nhận thấy: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##NoiDungThongBaoThuLy##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##NoiNhan##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