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18/BTNN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Giải quyết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##CanCu##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1. Bồi thường thiệt hại cho Ông/Bà ##TenNguoiYeuCauBoiThuong##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Địa chỉ: ##DiaChiNguoiYeuCauBoiThuong##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Tổng số tiền bồi thường là: ##TongSoTienBoiThuong##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chữ: ##TongSoTienBoiThuongBangChu##)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Trong đó gồm: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do tài sản bị xâm phạm (nếu có): ##ThietHaiTaiSan##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do thu nhập thực tế bị mất hoặc bị giảm sút (nếu có): ##ThietHaiThuNhap##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về vật chất do người bị thiệt hại chết (nếu có): ##ThietHaiDoNguoiBiThietHaiChet##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về vật chất do sức khỏe bị xâm phạm (nếu có): ##ThietHaiDoSucKhoeBiXamPham##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Thiệt hại về tinh thần (nếu có): ##ThietHaiTinhThan##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- Các chi phí khác được bồi thường (nếu có): ##ThietHaiKhac##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Số tiền bồi thường đã tạm ứng (nếu có): ##SoTienDaTamUng## đồng.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chữ: ##SoTienDaTamUngBangChu##)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Số tiền bồi thường còn lại sau khi đã tạm ứng (nếu có): ##SoTienConLaiPhaiChiTra## đồng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(Viết bằng chữ: ##SoTienConLaiBangChu##)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Trong đó có các nội dung ##NoiDungThuongLuongThanh## thương lượng thành; nội dung ##NoiDungThuongLuongKhongThanh## thương lượng không thành.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2. Việc chi trả tiền bồi thường thiệt hại được thực hiện theo phương thức ##PhuongThucChiTraBoiThuong##.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3. Khôi phục các quyền và lợi ích hợp pháp khác (nếu có): ##QuyenLoiIchHopPhapKhac##.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4. Người yêu cầu bồi thường có quyền khởi kiện yêu cầu Tòa án giải quyết yêu cầu bồi thường theo quy định tại khoản 2 Điều 52 Luật Trách nhiệm bồi thường của Nhà nước trong thời hạn quy định tại Điều 5 Quyết định này.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5. Quyết định này có hiệu lực ##ThoiDiemHieuLucQuyetDinh##, trừ trường hợp người yêu cầu bồi thường không đồng ý với quyết định và khởi kiện yêu cầu Tòa án giải quyết yêu cầu bồi thường.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6.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##NoiNhan##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