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22/BTNN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Hoãn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Căn cứ Điều 49 Luật Trách nhiệm bồi thường của Nhà nước số 10/2017/QH14 (được sửa đổi, bổ sung bởi Luật số 15/2026/QH16);</w:t>
      </w:r>
    </w:p>
    <w:p>
      <w:pPr>
        <w:jc w:val="both"/>
        <w:ind w:firstLine="567"/>
        <w:spacing w:after="120" w:line="276" w:lineRule="auto"/>
      </w:pPr>
      <w:r>
        <w:rPr>
          <w:i/>
          <w:sz w:val="28"/>
          <w:szCs w:val="28"/>
        </w:rPr>
        <w:t xml:space="preserve">Xét đề nghị hoãn giải quyết yêu cầu bồi thường của Ông/Bà ##TenNguoiYeuCauBoiThuong## ngày…/…/….,</w:t>
      </w:r>
    </w:p>
    <w:p>
      <w:pPr>
        <w:jc w:val="center"/>
        <w:spacing w:after="120" w:line="276" w:lineRule="auto"/>
      </w:pPr>
      <w:r>
        <w:rPr>
          <w:b/>
          <w:sz w:val="28"/>
          <w:szCs w:val="28"/>
        </w:rPr>
        <w:t xml:space="preserve">QUYẾT ĐỊNH: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1. Hoãn giải quyết yêu cầu bồi thường của Ông/Bà ##TenNguoiYeuCauBoiThuong## vì ##LyDoHoanGiaiQuyet##.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2. Thời hạn hoãn là ##ThoiHanHoan## ngày, từ ngày ##TuNgayHoan## đến ngày ##DenNgayHoan##.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3. Quyết định này có hiệu lực kể từ ngày ký.</w:t>
      </w:r>
    </w:p>
    <w:p>
      <w:pPr>
        <w:jc w:val="both"/>
        <w:ind w:firstLine="567"/>
        <w:spacing w:after="120" w:line="276" w:lineRule="auto"/>
      </w:pPr>
      <w:r>
        <w:rPr>
          <w:sz w:val="28"/>
          <w:szCs w:val="28"/>
        </w:rPr>
        <w:t xml:space="preserve">Điều 4.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