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26/BTNN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tổ chức thực hiện phục hồi danh dự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##TenNguoiBiThietHai##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##DiaChiNguoiBiThietHai##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Căn cứ Điều 57 Luật Trách nhiệm bồi thường của Nhà nước số 10/2017/QH14 (được sửa đổi, bổ sung bởi Luật số 15/2026/QH16) về chủ động phục hồi danh dự; ##VanBanCanCuYeuCauBoiThuong##, ##TenCoQuanThucHienPhucHoiDanhDu## dự kiến tổ chức thực hiện phục hồi danh dự đối với Ông/Bà, cụ thể như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##NoiDungPhucHoiDanhDu##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Trong thời hạn 07 ngày làm việc kể từ ngày nhận được thông báo này, đề nghị Ông/Bà ghi có ý kiến bằng văn bản và gửi lại cho ##TenCoQuanThucHienPhucHoiDanhDu##. Trường hợp Ông/bà trả lời bằng lời nói, đề nghị Ông/bà đến trụ sở ##TenCoQuanThucHienPhucHoiDanhDu## để thực hiện.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Hết thời hạn trả lời nêu trên mà Ông/Bà không trả lời thì việc phục hồi danh dự sẽ được thực hiện khi Ông/Bà có yêu cầu bằng văn bản./.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Thủ trưởng cơ quan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