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34/BTNN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p>
      <w:pPr>
        <w:spacing w:after="0" w:line="276" w:lineRule="auto"/>
        <w:jc w:val="center"/>
      </w:pPr>
      <w:r>
        <w:rPr>
          <w:b/>
          <w:sz w:val="24"/>
          <w:szCs w:val="24"/>
        </w:rPr>
        <w:t xml:space="preserve">CỘNG HÒA XÃ HỘI CHỦ NGHĨA VIỆT NAM</w:t>
      </w:r>
    </w:p>
    <w:p>
      <w:pPr>
        <w:spacing w:after="0" w:line="276" w:lineRule="auto"/>
        <w:jc w:val="center"/>
      </w:pPr>
      <w:r>
        <w:rPr>
          <w:b/>
          <w:u w:val="single"/>
          <w:sz w:val="26"/>
          <w:szCs w:val="26"/>
        </w:rPr>
        <w:t xml:space="preserve">Độc lập - Tự do - Hạnh phúc</w:t>
      </w:r>
    </w:p>
    <w:p>
      <w:pPr>
        <w:spacing w:before="360" w:after="0" w:line="276" w:lineRule="auto"/>
        <w:jc w:val="center"/>
      </w:pPr>
      <w:r>
        <w:rPr>
          <w:b/>
          <w:sz w:val="28"/>
          <w:szCs w:val="28"/>
        </w:rPr>
        <w:t xml:space="preserve">BIÊN BẢN</w:t>
      </w:r>
    </w:p>
    <w:p>
      <w:pPr>
        <w:spacing w:after="0" w:line="276" w:lineRule="auto"/>
        <w:jc w:val="center"/>
      </w:pPr>
      <w:r>
        <w:rPr>
          <w:b/>
          <w:sz w:val="28"/>
          <w:szCs w:val="28"/>
        </w:rPr>
        <w:t xml:space="preserve">Làm việc của Hội đồng xem xét trách nhiệm hoàn trả</w:t>
      </w:r>
    </w:p>
    <w:p>
      <w:pPr>
        <w:spacing w:after="240" w:line="276" w:lineRule="auto"/>
        <w:jc w:val="center"/>
      </w:pPr>
      <w:r>
        <w:rPr>
          <w:sz w:val="28"/>
          <w:szCs w:val="28"/>
        </w:rPr>
        <w:t xml:space="preserve">(vụ việc ##MaVuViec##)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Hôm nay, ngày ##NgayHopHoiDong##, tại ##DiaDiemHop## Hội đồng xem xét trách nhiệm hoàn trả tổ chức họp để xem xét trách nhiệm hoàn trả trong vụ việc yêu cầu bồi thường của ##TenDiaChiNguoiYeuCauBoiThuong## đối với ##TenCoQuanDaChiTraBoiThuong## cụ thể như sau:</w:t>
      </w:r>
    </w:p>
    <w:p>
      <w:pPr>
        <w:spacing w:after="120" w:line="276" w:lineRule="auto"/>
        <w:ind w:firstLine="567"/>
        <w:jc w:val="both"/>
      </w:pPr>
      <w:r>
        <w:rPr>
          <w:b/>
          <w:sz w:val="28"/>
          <w:szCs w:val="28"/>
        </w:rPr>
        <w:t xml:space="preserve">I. Thành phần họp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##ThanhPhanHop##</w:t>
      </w:r>
    </w:p>
    <w:p>
      <w:pPr>
        <w:spacing w:after="120" w:line="276" w:lineRule="auto"/>
        <w:ind w:firstLine="567"/>
        <w:jc w:val="both"/>
      </w:pPr>
      <w:r>
        <w:rPr>
          <w:b/>
          <w:sz w:val="28"/>
          <w:szCs w:val="28"/>
        </w:rPr>
        <w:t xml:space="preserve">II. Nội dung</w:t>
      </w:r>
    </w:p>
    <w:p>
      <w:pPr>
        <w:spacing w:after="120" w:line="276" w:lineRule="auto"/>
        <w:ind w:firstLine="567"/>
        <w:jc w:val="both"/>
      </w:pPr>
      <w:r>
        <w:rPr>
          <w:b/>
          <w:sz w:val="28"/>
          <w:szCs w:val="28"/>
        </w:rPr>
        <w:t xml:space="preserve">1. Các vấn đề thảo luận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1.1. Xác định người thi hành công vụ gây thiệt hại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##ThaoLuanNguoiThiHanhCongVu##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1.2. Xác định mức độ lỗi của người thi hành công vụ gây thiệt hại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##ThaoLuanMucDoLoi##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1.3. Trách nhiệm hoàn trả và mức hoàn trả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##ThaoLuanTrachNhiemHoanTra##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1.4. Xác định việc giảm mức hoàn trả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##ThaoLuanGiamMucHoanTra##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1.5. Xác định việc miễn hoàn trả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##ThaoLuanMienHoanTra##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1.6. Điều kiện hoãn thực hiện việc hoàn trả (nếu có)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##ThaoLuanDieuKienHoan##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1.7. Phương thức hoàn trả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##ThaoLuanPhuongThucHoanTra##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1.8. Kiến nghị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##ThaoLuanKienNghi##</w:t>
      </w:r>
    </w:p>
    <w:p>
      <w:pPr>
        <w:spacing w:after="120" w:line="276" w:lineRule="auto"/>
        <w:ind w:firstLine="567"/>
        <w:jc w:val="both"/>
      </w:pPr>
      <w:r>
        <w:rPr>
          <w:b/>
          <w:sz w:val="28"/>
          <w:szCs w:val="28"/>
        </w:rPr>
        <w:t xml:space="preserve">2. Kết quả biểu quyết bằng hình thức phiếu kín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2.1. Người thi hành công vụ phải thực hiện hoàn trả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##BieuQuyetNguoiThiHanhCongVu##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2.2. Mức độ lỗi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##BieuQuyetMucDoLoi##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2.3. Trách nhiệm hoàn trả và mức hoàn trả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##BieuQuyetTrachNhiemHoanTra##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2.4. Giảm mức hoàn trả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##BieuQuyetGiamMucHoanTra##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2.5. Miễn hoàn trả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##BieuQuyetMienHoanTra##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2.6. Điều kiện hoãn thực hiện việc hoàn trả (nếu có)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##BieuQuyetDieuKienHoan##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2.7. Phương thức hoàn trả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##BieuQuyetPhuongThucHoanTra##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Cuộc họp kết thúc vào hồi ##GioKetThucHop## giờ, ngày ##NgayKetThucHop##. Biên bản đã được đọc cho mọi người tham gia họp cùng nghe và nhất trí với toàn bộ nội dung của biên bản.</w:t>
      </w:r>
    </w:p>
    <w:tbl>
      <w:tblPr>
        <w:tblW w:w="9355" w:type="dxa"/>
        <w:tblLayout w:type="fixed"/>
        <w:tblLook w:val="000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600"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 xml:space="preserve">Người lập biên bản</w:t>
            </w:r>
          </w:p>
          <w:p>
            <w:pPr>
              <w:spacing w:after="0" w:line="276" w:lineRule="auto"/>
              <w:jc w:val="center"/>
            </w:pPr>
            <w:r>
              <w:rPr>
                <w:i/>
                <w:sz w:val="28"/>
                <w:szCs w:val="28"/>
              </w:rPr>
              <w:t xml:space="preserve">(Ký và ghi rõ họ tên)</w:t>
            </w:r>
          </w:p>
          <w:p>
            <w:pPr>
              <w:spacing w:before="1200" w:after="120" w:line="276" w:lineRule="auto"/>
              <w:jc w:val="center"/>
            </w:pPr>
            <w:r>
              <w:rPr>
                <w:b/>
                <w:sz w:val="28"/>
                <w:szCs w:val="28"/>
              </w:rPr>
              <w:t xml:space="preserve">##NguoiLapBienBan##</w:t>
            </w:r>
          </w:p>
        </w:tc>
        <w:tc>
          <w:tcPr>
            <w:tcW w:w="5146" w:type="dxa"/>
          </w:tcPr>
          <w:p>
            <w:pPr>
              <w:spacing w:before="240" w:after="0" w:line="276" w:lineRule="auto"/>
              <w:jc w:val="center"/>
            </w:pPr>
            <w:r>
              <w:rPr>
                <w:i/>
                <w:sz w:val="28"/>
                <w:szCs w:val="28"/>
              </w:rPr>
              <w:t xml:space="preserve">…….., ngày……. tháng…… năm…….</w:t>
            </w:r>
          </w:p>
          <w:p>
            <w:pPr>
              <w:spacing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 xml:space="preserve">Chủ tịch Hội đồng</w:t>
            </w:r>
          </w:p>
          <w:p>
            <w:pPr>
              <w:spacing w:after="0" w:line="276" w:lineRule="auto"/>
              <w:jc w:val="center"/>
            </w:pPr>
            <w:r>
              <w:rPr>
                <w:i/>
                <w:sz w:val="28"/>
                <w:szCs w:val="28"/>
              </w:rPr>
              <w:t xml:space="preserve">(Ký và ghi rõ họ tên)</w:t>
            </w:r>
          </w:p>
          <w:p>
            <w:pPr>
              <w:spacing w:before="1200" w:after="120" w:line="276" w:lineRule="auto"/>
              <w:jc w:val="center"/>
            </w:pPr>
            <w:r>
              <w:rPr>
                <w:b/>
                <w:sz w:val="28"/>
                <w:szCs w:val="28"/>
              </w:rPr>
              <w:t xml:space="preserve">##ChuTichHoiDong##</w:t>
            </w:r>
          </w:p>
        </w:tc>
      </w:tr>
    </w:tbl>
    <w:p/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