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2420112" cy="609600"/>
            <wp:effectExtent b="0" l="0" r="0" t="0"/>
            <wp:docPr id="1" name="image-2eb141b7b4dd90bcd928dd11b27efc4605f93cf0.png"/>
            <a:graphic>
              <a:graphicData uri="http://schemas.openxmlformats.org/drawingml/2006/picture">
                <pic:pic>
                  <pic:nvPicPr>
                    <pic:cNvPr id="1" name="image-2eb141b7b4dd90bcd928dd11b27efc4605f93cf0.png" descr=""/>
                    <pic:cNvPicPr/>
                  </pic:nvPicPr>
                  <pic:blipFill>
                    <a:blip r:embed="rId5" cstate="print"/>
                    <a:srcRect b="0" l="0" r="0" t="0"/>
                    <a:stretch>
                      <a:fillRect/>
                    </a:stretch>
                  </pic:blipFill>
                  <pic:spPr>
                    <a:xfrm>
                      <a:off x="0" y="0"/>
                      <a:ext cx="2420112" cy="609600"/>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Maintenance &amp; Long-Term Gut Health Wellness: A Sustainable Strategy for Lasting Relief</w:t>
      </w:r>
    </w:p>
    <w:p>
      <w:pPr>
        <w:spacing w:line="360" w:before="315" w:after="105" w:lineRule="auto"/>
        <w:ind w:left="-30"/>
        <w:jc w:val="left"/>
      </w:pPr>
      <w:r>
        <w:rPr>
          <w:rFonts w:eastAsia="inter" w:cs="inter" w:ascii="inter" w:hAnsi="inter"/>
          <w:b/>
          <w:color w:val="000000"/>
          <w:sz w:val="24"/>
        </w:rPr>
        <w:t xml:space="preserve">The Foundation of Lasting Gut Health Success</w:t>
      </w:r>
    </w:p>
    <w:p>
      <w:pPr>
        <w:spacing w:line="360" w:after="210" w:lineRule="auto"/>
      </w:pPr>
      <w:r>
        <w:rPr>
          <w:rFonts w:eastAsia="inter" w:cs="inter" w:ascii="inter" w:hAnsi="inter"/>
          <w:color w:val="000000"/>
        </w:rPr>
        <w:t xml:space="preserve">Achieving long-term gut health isn't about perfection—it's about creating a sustainable, personalized approach that maintains your healing progress while allowing for flexibility and enjoyment in your daily life. The maintenance phase represents the most crucial yet often overlooked aspect of gut health optimization, where you transition from active healing to lifelong wellness practices.</w:t>
      </w:r>
    </w:p>
    <w:p>
      <w:pPr>
        <w:spacing w:line="360" w:before="315" w:after="105" w:lineRule="auto"/>
        <w:ind w:left="-30"/>
        <w:jc w:val="left"/>
      </w:pPr>
      <w:r>
        <w:rPr>
          <w:rFonts w:eastAsia="inter" w:cs="inter" w:ascii="inter" w:hAnsi="inter"/>
          <w:b/>
          <w:color w:val="000000"/>
          <w:sz w:val="24"/>
        </w:rPr>
        <w:t xml:space="preserve">Understanding the Maintenance Mindset</w:t>
      </w:r>
    </w:p>
    <w:p>
      <w:pPr>
        <w:spacing w:line="360" w:before="315" w:after="105" w:lineRule="auto"/>
        <w:ind w:left="-30"/>
        <w:jc w:val="left"/>
      </w:pPr>
      <w:r>
        <w:rPr>
          <w:rFonts w:eastAsia="inter" w:cs="inter" w:ascii="inter" w:hAnsi="inter"/>
          <w:b/>
          <w:color w:val="000000"/>
          <w:sz w:val="24"/>
        </w:rPr>
        <w:t xml:space="preserve">Beyond the "Quick Fix" Approach</w:t>
      </w:r>
    </w:p>
    <w:p>
      <w:pPr>
        <w:spacing w:line="360" w:after="210" w:lineRule="auto"/>
      </w:pPr>
      <w:r>
        <w:rPr>
          <w:rFonts w:eastAsia="inter" w:cs="inter" w:ascii="inter" w:hAnsi="inter"/>
          <w:color w:val="000000"/>
        </w:rPr>
        <w:t xml:space="preserve">Long-term gut health maintenance requires a fundamental shift in mindset. Research consistently shows that sustainable gut health improvements take months to establish and require ongoing attention. The gut microbiome can change within days of dietary modifications, but establishing a resilient, diverse bacterial community that can withstand occasional disruptions typically takes several weeks to months.</w:t>
      </w:r>
      <w:bookmarkStart w:id="0" w:name="fnref1"/>
      <w:bookmarkEnd w:id="0"/>
      <w:hyperlink w:anchor="fn1">
        <w:r>
          <w:rPr>
            <w:rFonts w:eastAsia="inter" w:cs="inter" w:ascii="inter" w:hAnsi="inter"/>
            <w:color w:val="#000"/>
            <w:u w:val="single"/>
            <w:vertAlign w:val="superscript"/>
          </w:rPr>
          <w:t xml:space="preserve">[1]</w:t>
        </w:r>
      </w:hyperlink>
      <w:bookmarkStart w:id="1" w:name="fnref2"/>
      <w:bookmarkEnd w:id="1"/>
      <w:hyperlink w:anchor="fn2">
        <w:r>
          <w:rPr>
            <w:rFonts w:eastAsia="inter" w:cs="inter" w:ascii="inter" w:hAnsi="inter"/>
            <w:color w:val="#000"/>
            <w:u w:val="single"/>
            <w:vertAlign w:val="superscript"/>
          </w:rPr>
          <w:t xml:space="preserve">[2]</w:t>
        </w:r>
      </w:hyperlink>
      <w:bookmarkStart w:id="2" w:name="fnref3"/>
      <w:bookmarkEnd w:id="2"/>
      <w:hyperlink w:anchor="fn3">
        <w:r>
          <w:rPr>
            <w:rFonts w:eastAsia="inter" w:cs="inter" w:ascii="inter" w:hAnsi="inter"/>
            <w:color w:val="#000"/>
            <w:u w:val="single"/>
            <w:vertAlign w:val="superscript"/>
          </w:rPr>
          <w:t xml:space="preserve">[3]</w:t>
        </w:r>
      </w:hyperlink>
      <w:bookmarkStart w:id="3" w:name="fnref4"/>
      <w:bookmarkEnd w:id="3"/>
      <w:hyperlink w:anchor="fn4">
        <w:r>
          <w:rPr>
            <w:rFonts w:eastAsia="inter" w:cs="inter" w:ascii="inter" w:hAnsi="inter"/>
            <w:color w:val="#000"/>
            <w:u w:val="single"/>
            <w:vertAlign w:val="superscript"/>
          </w:rPr>
          <w:t xml:space="preserve">[4]</w:t>
        </w:r>
      </w:hyperlink>
    </w:p>
    <w:p>
      <w:pPr>
        <w:spacing w:line="360" w:after="210" w:lineRule="auto"/>
      </w:pPr>
      <w:r>
        <w:rPr>
          <w:rFonts w:eastAsia="inter" w:cs="inter" w:ascii="inter" w:hAnsi="inter"/>
          <w:color w:val="000000"/>
        </w:rPr>
        <w:t xml:space="preserve">The maintenance phase focuses on three core principles:</w:t>
      </w:r>
    </w:p>
    <w:p>
      <w:pPr>
        <w:spacing w:line="360" w:after="210" w:lineRule="auto"/>
      </w:pPr>
      <w:r>
        <w:rPr>
          <w:rFonts w:eastAsia="inter" w:cs="inter" w:ascii="inter" w:hAnsi="inter"/>
          <w:b/>
          <w:color w:val="000000"/>
        </w:rPr>
        <w:t xml:space="preserve">Consistency Over Perfection</w:t>
      </w:r>
      <w:r>
        <w:rPr>
          <w:rFonts w:eastAsia="inter" w:cs="inter" w:ascii="inter" w:hAnsi="inter"/>
          <w:color w:val="000000"/>
        </w:rPr>
        <w:t xml:space="preserve">: Rather than maintaining rigid restrictions indefinitely, successful long-term gut health relies on consistently implementing gut-supportive practices 80% of the time while allowing flexibility for the remaining 20%.</w:t>
      </w:r>
      <w:bookmarkStart w:id="4" w:name="fnref3:1"/>
      <w:bookmarkEnd w:id="4"/>
      <w:hyperlink w:anchor="fn3">
        <w:r>
          <w:rPr>
            <w:rFonts w:eastAsia="inter" w:cs="inter" w:ascii="inter" w:hAnsi="inter"/>
            <w:color w:val="#000"/>
            <w:u w:val="single"/>
            <w:vertAlign w:val="superscript"/>
          </w:rPr>
          <w:t xml:space="preserve">[3]</w:t>
        </w:r>
      </w:hyperlink>
    </w:p>
    <w:p>
      <w:pPr>
        <w:spacing w:line="360" w:after="210" w:lineRule="auto"/>
      </w:pPr>
      <w:r>
        <w:rPr>
          <w:rFonts w:eastAsia="inter" w:cs="inter" w:ascii="inter" w:hAnsi="inter"/>
          <w:b/>
          <w:color w:val="000000"/>
        </w:rPr>
        <w:t xml:space="preserve">Personalization</w:t>
      </w:r>
      <w:r>
        <w:rPr>
          <w:rFonts w:eastAsia="inter" w:cs="inter" w:ascii="inter" w:hAnsi="inter"/>
          <w:color w:val="000000"/>
        </w:rPr>
        <w:t xml:space="preserve">: Your maintenance plan must reflect your unique microbiome composition, lifestyle demands, and individual trigger sensitivities.</w:t>
      </w:r>
      <w:bookmarkStart w:id="5" w:name="fnref5"/>
      <w:bookmarkEnd w:id="5"/>
      <w:hyperlink w:anchor="fn5">
        <w:r>
          <w:rPr>
            <w:rFonts w:eastAsia="inter" w:cs="inter" w:ascii="inter" w:hAnsi="inter"/>
            <w:color w:val="#000"/>
            <w:u w:val="single"/>
            <w:vertAlign w:val="superscript"/>
          </w:rPr>
          <w:t xml:space="preserve">[5]</w:t>
        </w:r>
      </w:hyperlink>
      <w:bookmarkStart w:id="6" w:name="fnref6"/>
      <w:bookmarkEnd w:id="6"/>
      <w:hyperlink w:anchor="fn6">
        <w:r>
          <w:rPr>
            <w:rFonts w:eastAsia="inter" w:cs="inter" w:ascii="inter" w:hAnsi="inter"/>
            <w:color w:val="#000"/>
            <w:u w:val="single"/>
            <w:vertAlign w:val="superscript"/>
          </w:rPr>
          <w:t xml:space="preserve">[6]</w:t>
        </w:r>
      </w:hyperlink>
    </w:p>
    <w:p>
      <w:pPr>
        <w:spacing w:line="360" w:after="210" w:lineRule="auto"/>
      </w:pPr>
      <w:r>
        <w:rPr>
          <w:rFonts w:eastAsia="inter" w:cs="inter" w:ascii="inter" w:hAnsi="inter"/>
          <w:b/>
          <w:color w:val="000000"/>
        </w:rPr>
        <w:t xml:space="preserve">Adaptability</w:t>
      </w:r>
      <w:r>
        <w:rPr>
          <w:rFonts w:eastAsia="inter" w:cs="inter" w:ascii="inter" w:hAnsi="inter"/>
          <w:color w:val="000000"/>
        </w:rPr>
        <w:t xml:space="preserve">: As your gut heals and life circumstances change, your maintenance strategy should evolve accordingly, incorporating seasonal variations and life stage adjustments.</w:t>
      </w:r>
    </w:p>
    <w:p>
      <w:pPr>
        <w:spacing w:line="360" w:before="315" w:after="105" w:lineRule="auto"/>
        <w:ind w:left="-30"/>
        <w:jc w:val="left"/>
      </w:pPr>
      <w:r>
        <w:rPr>
          <w:rFonts w:eastAsia="inter" w:cs="inter" w:ascii="inter" w:hAnsi="inter"/>
          <w:b/>
          <w:color w:val="000000"/>
          <w:sz w:val="24"/>
        </w:rPr>
        <w:t xml:space="preserve">Strategic Food Reintroduction: The Art of Moderation</w:t>
      </w:r>
    </w:p>
    <w:p>
      <w:pPr>
        <w:spacing w:line="360" w:before="315" w:after="105" w:lineRule="auto"/>
        <w:ind w:left="-30"/>
        <w:jc w:val="left"/>
      </w:pPr>
      <w:r>
        <w:rPr>
          <w:rFonts w:eastAsia="inter" w:cs="inter" w:ascii="inter" w:hAnsi="inter"/>
          <w:b/>
          <w:color w:val="000000"/>
          <w:sz w:val="24"/>
        </w:rPr>
        <w:t xml:space="preserve">The Systematic Reintroduction Framework</w:t>
      </w:r>
    </w:p>
    <w:p>
      <w:pPr>
        <w:spacing w:line="360" w:after="210" w:lineRule="auto"/>
      </w:pPr>
      <w:r>
        <w:rPr>
          <w:rFonts w:eastAsia="inter" w:cs="inter" w:ascii="inter" w:hAnsi="inter"/>
          <w:color w:val="000000"/>
        </w:rPr>
        <w:t xml:space="preserve">Successfully incorporating previously problematic foods requires a methodical approach that prioritizes gut barrier integrity while gradually expanding dietary variety.</w:t>
      </w:r>
      <w:bookmarkStart w:id="7" w:name="fnref7"/>
      <w:bookmarkEnd w:id="7"/>
      <w:hyperlink w:anchor="fn7">
        <w:r>
          <w:rPr>
            <w:rFonts w:eastAsia="inter" w:cs="inter" w:ascii="inter" w:hAnsi="inter"/>
            <w:color w:val="#000"/>
            <w:u w:val="single"/>
            <w:vertAlign w:val="superscript"/>
          </w:rPr>
          <w:t xml:space="preserve">[7]</w:t>
        </w:r>
      </w:hyperlink>
      <w:bookmarkStart w:id="8" w:name="fnref8"/>
      <w:bookmarkEnd w:id="8"/>
      <w:hyperlink w:anchor="fn8">
        <w:r>
          <w:rPr>
            <w:rFonts w:eastAsia="inter" w:cs="inter" w:ascii="inter" w:hAnsi="inter"/>
            <w:color w:val="#000"/>
            <w:u w:val="single"/>
            <w:vertAlign w:val="superscript"/>
          </w:rPr>
          <w:t xml:space="preserve">[8]</w:t>
        </w:r>
      </w:hyperlink>
    </w:p>
    <w:p>
      <w:pPr>
        <w:spacing w:line="360" w:after="210" w:lineRule="auto"/>
      </w:pPr>
      <w:r>
        <w:rPr>
          <w:rFonts w:eastAsia="inter" w:cs="inter" w:ascii="inter" w:hAnsi="inter"/>
          <w:b/>
          <w:color w:val="000000"/>
        </w:rPr>
        <w:t xml:space="preserve">Phase 1: Foundation Assessment (Weeks 1-2)</w:t>
      </w:r>
      <w:r>
        <w:rPr>
          <w:rFonts w:eastAsia="inter" w:cs="inter" w:ascii="inter" w:hAnsi="inter"/>
          <w:color w:val="000000"/>
        </w:rPr>
        <w:br w:type="textWrapping"/>
      </w:r>
      <w:r>
        <w:rPr>
          <w:rFonts w:eastAsia="inter" w:cs="inter" w:ascii="inter" w:hAnsi="inter"/>
          <w:color w:val="000000"/>
        </w:rPr>
        <w:t xml:space="preserve">Before reintroducing any trigger foods, ensure your baseline gut health is stable. Signs of readiness include consistent bowel movements, minimal bloating, stable energy levels, and improved mood. This foundation period allows you to establish clear symptom patterns and identify your current tolerance threshold.</w:t>
      </w:r>
      <w:bookmarkStart w:id="9" w:name="fnref9"/>
      <w:bookmarkEnd w:id="9"/>
      <w:hyperlink w:anchor="fn9">
        <w:r>
          <w:rPr>
            <w:rFonts w:eastAsia="inter" w:cs="inter" w:ascii="inter" w:hAnsi="inter"/>
            <w:color w:val="#000"/>
            <w:u w:val="single"/>
            <w:vertAlign w:val="superscript"/>
          </w:rPr>
          <w:t xml:space="preserve">[9]</w:t>
        </w:r>
      </w:hyperlink>
    </w:p>
    <w:p>
      <w:pPr>
        <w:spacing w:line="360" w:after="210" w:lineRule="auto"/>
      </w:pPr>
      <w:r>
        <w:rPr>
          <w:rFonts w:eastAsia="inter" w:cs="inter" w:ascii="inter" w:hAnsi="inter"/>
          <w:b/>
          <w:color w:val="000000"/>
        </w:rPr>
        <w:t xml:space="preserve">Phase 2: Low-Risk Reintroductions (Weeks 3-6)</w:t>
      </w:r>
      <w:r>
        <w:rPr>
          <w:rFonts w:eastAsia="inter" w:cs="inter" w:ascii="inter" w:hAnsi="inter"/>
          <w:color w:val="000000"/>
        </w:rPr>
        <w:br w:type="textWrapping"/>
      </w:r>
      <w:r>
        <w:rPr>
          <w:rFonts w:eastAsia="inter" w:cs="inter" w:ascii="inter" w:hAnsi="inter"/>
          <w:color w:val="000000"/>
        </w:rPr>
        <w:t xml:space="preserve">Begin with foods that pose minimal inflammatory risk. Start with small portions—approximately one-quarter of a normal serving—consumed during periods of low stress. Monitor symptoms for 72 hours before proceeding to the next food. Examples include:</w:t>
      </w:r>
      <w:bookmarkStart w:id="10" w:name="fnref8:1"/>
      <w:bookmarkEnd w:id="10"/>
      <w:hyperlink w:anchor="fn8">
        <w:r>
          <w:rPr>
            <w:rFonts w:eastAsia="inter" w:cs="inter" w:ascii="inter" w:hAnsi="inter"/>
            <w:color w:val="#000"/>
            <w:u w:val="single"/>
            <w:vertAlign w:val="superscript"/>
          </w:rPr>
          <w:t xml:space="preserve">[8]</w:t>
        </w:r>
      </w:hyperlink>
    </w:p>
    <w:p>
      <w:pPr>
        <w:numPr>
          <w:ilvl w:val="0"/>
          <w:numId w:val="1"/>
        </w:numPr>
        <w:spacing w:line="360" w:before="105" w:after="105" w:lineRule="auto"/>
      </w:pPr>
      <w:r>
        <w:rPr>
          <w:rFonts w:eastAsia="inter" w:cs="inter" w:ascii="inter" w:hAnsi="inter"/>
          <w:color w:val="000000"/>
          <w:sz w:val="21"/>
        </w:rPr>
        <w:t xml:space="preserve">Well-cooked vegetables from previous trigger categories</w:t>
      </w:r>
    </w:p>
    <w:p>
      <w:pPr>
        <w:numPr>
          <w:ilvl w:val="0"/>
          <w:numId w:val="1"/>
        </w:numPr>
        <w:spacing w:line="360" w:before="105" w:after="105" w:lineRule="auto"/>
      </w:pPr>
      <w:r>
        <w:rPr>
          <w:rFonts w:eastAsia="inter" w:cs="inter" w:ascii="inter" w:hAnsi="inter"/>
          <w:color w:val="000000"/>
          <w:sz w:val="21"/>
        </w:rPr>
        <w:t xml:space="preserve">Small amounts of properly fermented dairy (if previously reactive)</w:t>
      </w:r>
    </w:p>
    <w:p>
      <w:pPr>
        <w:numPr>
          <w:ilvl w:val="0"/>
          <w:numId w:val="1"/>
        </w:numPr>
        <w:spacing w:line="360" w:before="105" w:after="105" w:lineRule="auto"/>
      </w:pPr>
      <w:r>
        <w:rPr>
          <w:rFonts w:eastAsia="inter" w:cs="inter" w:ascii="inter" w:hAnsi="inter"/>
          <w:color w:val="000000"/>
          <w:sz w:val="21"/>
        </w:rPr>
        <w:t xml:space="preserve">Gluten-free grains in minimal quantities</w:t>
      </w:r>
    </w:p>
    <w:p>
      <w:pPr>
        <w:numPr>
          <w:ilvl w:val="0"/>
          <w:numId w:val="1"/>
        </w:numPr>
        <w:spacing w:line="360" w:before="105" w:after="105" w:lineRule="auto"/>
      </w:pPr>
      <w:r>
        <w:rPr>
          <w:rFonts w:eastAsia="inter" w:cs="inter" w:ascii="inter" w:hAnsi="inter"/>
          <w:color w:val="000000"/>
          <w:sz w:val="21"/>
        </w:rPr>
        <w:t xml:space="preserve">Specific spices or herbs that were previously avoided</w:t>
      </w:r>
    </w:p>
    <w:p>
      <w:pPr>
        <w:spacing w:line="360" w:after="210" w:lineRule="auto"/>
      </w:pPr>
      <w:r>
        <w:rPr>
          <w:rFonts w:eastAsia="inter" w:cs="inter" w:ascii="inter" w:hAnsi="inter"/>
          <w:b/>
          <w:color w:val="000000"/>
        </w:rPr>
        <w:t xml:space="preserve">Phase 3: Moderate-Risk Foods (Weeks 7-12)</w:t>
      </w:r>
      <w:r>
        <w:rPr>
          <w:rFonts w:eastAsia="inter" w:cs="inter" w:ascii="inter" w:hAnsi="inter"/>
          <w:color w:val="000000"/>
        </w:rPr>
        <w:br w:type="textWrapping"/>
      </w:r>
      <w:r>
        <w:rPr>
          <w:rFonts w:eastAsia="inter" w:cs="inter" w:ascii="inter" w:hAnsi="inter"/>
          <w:color w:val="000000"/>
        </w:rPr>
        <w:t xml:space="preserve">Progress to foods with moderate inflammatory potential, maintaining the same systematic approach. These might include certain legumes, specific fruits, or small amounts of foods containing natural food chemicals. The key is introducing only one food every 3-4 days while maintaining detailed symptom tracking.</w:t>
      </w:r>
      <w:bookmarkStart w:id="11" w:name="fnref7:1"/>
      <w:bookmarkEnd w:id="11"/>
      <w:hyperlink w:anchor="fn7">
        <w:r>
          <w:rPr>
            <w:rFonts w:eastAsia="inter" w:cs="inter" w:ascii="inter" w:hAnsi="inter"/>
            <w:color w:val="#000"/>
            <w:u w:val="single"/>
            <w:vertAlign w:val="superscript"/>
          </w:rPr>
          <w:t xml:space="preserve">[7]</w:t>
        </w:r>
      </w:hyperlink>
    </w:p>
    <w:p>
      <w:pPr>
        <w:spacing w:line="360" w:after="210" w:lineRule="auto"/>
      </w:pPr>
      <w:r>
        <w:rPr>
          <w:rFonts w:eastAsia="inter" w:cs="inter" w:ascii="inter" w:hAnsi="inter"/>
          <w:b/>
          <w:color w:val="000000"/>
        </w:rPr>
        <w:t xml:space="preserve">Phase 4: Higher-Risk Integration (Months 3-6)</w:t>
      </w:r>
      <w:r>
        <w:rPr>
          <w:rFonts w:eastAsia="inter" w:cs="inter" w:ascii="inter" w:hAnsi="inter"/>
          <w:color w:val="000000"/>
        </w:rPr>
        <w:br w:type="textWrapping"/>
      </w:r>
      <w:r>
        <w:rPr>
          <w:rFonts w:eastAsia="inter" w:cs="inter" w:ascii="inter" w:hAnsi="inter"/>
          <w:color w:val="000000"/>
        </w:rPr>
        <w:t xml:space="preserve">Finally, test foods that previously caused significant reactions. This phase requires particular attention to timing, stress levels, and overall gut health status. Some individuals may find they can tolerate small amounts of previously problematic foods when consumed infrequently and during optimal health periods.</w:t>
      </w:r>
    </w:p>
    <w:p>
      <w:pPr>
        <w:spacing w:line="360" w:before="315" w:after="105" w:lineRule="auto"/>
        <w:ind w:left="-30"/>
        <w:jc w:val="left"/>
      </w:pPr>
      <w:r>
        <w:rPr>
          <w:rFonts w:eastAsia="inter" w:cs="inter" w:ascii="inter" w:hAnsi="inter"/>
          <w:b/>
          <w:color w:val="000000"/>
          <w:sz w:val="24"/>
        </w:rPr>
        <w:t xml:space="preserve">The Moderation Matrix</w:t>
      </w:r>
    </w:p>
    <w:p>
      <w:pPr>
        <w:spacing w:line="360" w:after="210" w:lineRule="auto"/>
      </w:pPr>
      <w:r>
        <w:rPr>
          <w:rFonts w:eastAsia="inter" w:cs="inter" w:ascii="inter" w:hAnsi="inter"/>
          <w:color w:val="000000"/>
        </w:rPr>
        <w:t xml:space="preserve">Successful trigger food reintroduction relies on understanding your personal "moderation matrix"—the specific combinations of timing, quantity, frequency, and context that allow you to enjoy previously problematic foods without triggering symptoms.</w:t>
      </w:r>
      <w:bookmarkStart w:id="12" w:name="fnref6:1"/>
      <w:bookmarkEnd w:id="12"/>
      <w:hyperlink w:anchor="fn6">
        <w:r>
          <w:rPr>
            <w:rFonts w:eastAsia="inter" w:cs="inter" w:ascii="inter" w:hAnsi="inter"/>
            <w:color w:val="#000"/>
            <w:u w:val="single"/>
            <w:vertAlign w:val="superscript"/>
          </w:rPr>
          <w:t xml:space="preserve">[6]</w:t>
        </w:r>
      </w:hyperlink>
      <w:bookmarkStart w:id="13" w:name="fnref10"/>
      <w:bookmarkEnd w:id="13"/>
      <w:hyperlink w:anchor="fn10">
        <w:r>
          <w:rPr>
            <w:rFonts w:eastAsia="inter" w:cs="inter" w:ascii="inter" w:hAnsi="inter"/>
            <w:color w:val="#000"/>
            <w:u w:val="single"/>
            <w:vertAlign w:val="superscript"/>
          </w:rPr>
          <w:t xml:space="preserve">[10]</w:t>
        </w:r>
      </w:hyperlink>
    </w:p>
    <w:p>
      <w:pPr>
        <w:spacing w:line="360" w:after="210" w:lineRule="auto"/>
      </w:pPr>
      <w:r>
        <w:rPr>
          <w:rFonts w:eastAsia="inter" w:cs="inter" w:ascii="inter" w:hAnsi="inter"/>
          <w:b/>
          <w:color w:val="000000"/>
        </w:rPr>
        <w:t xml:space="preserve">Quantity Thresholds</w:t>
      </w:r>
      <w:r>
        <w:rPr>
          <w:rFonts w:eastAsia="inter" w:cs="inter" w:ascii="inter" w:hAnsi="inter"/>
          <w:color w:val="000000"/>
        </w:rPr>
        <w:t xml:space="preserve">: Many individuals can tolerate small amounts of trigger foods without experiencing symptoms. For example, someone sensitive to FODMAPs might tolerate 1/4 cup of beans but react to 1/2 cup.</w:t>
      </w:r>
      <w:bookmarkStart w:id="14" w:name="fnref8:2"/>
      <w:bookmarkEnd w:id="14"/>
      <w:hyperlink w:anchor="fn8">
        <w:r>
          <w:rPr>
            <w:rFonts w:eastAsia="inter" w:cs="inter" w:ascii="inter" w:hAnsi="inter"/>
            <w:color w:val="#000"/>
            <w:u w:val="single"/>
            <w:vertAlign w:val="superscript"/>
          </w:rPr>
          <w:t xml:space="preserve">[8]</w:t>
        </w:r>
      </w:hyperlink>
    </w:p>
    <w:p>
      <w:pPr>
        <w:spacing w:line="360" w:after="210" w:lineRule="auto"/>
      </w:pPr>
      <w:r>
        <w:rPr>
          <w:rFonts w:eastAsia="inter" w:cs="inter" w:ascii="inter" w:hAnsi="inter"/>
          <w:b/>
          <w:color w:val="000000"/>
        </w:rPr>
        <w:t xml:space="preserve">Frequency Patterns</w:t>
      </w:r>
      <w:r>
        <w:rPr>
          <w:rFonts w:eastAsia="inter" w:cs="inter" w:ascii="inter" w:hAnsi="inter"/>
          <w:color w:val="000000"/>
        </w:rPr>
        <w:t xml:space="preserve">: Spacing trigger food consumption allows your gut to recover between exposures. A food that causes problems when eaten daily might be perfectly tolerable when consumed weekly.</w:t>
      </w:r>
    </w:p>
    <w:p>
      <w:pPr>
        <w:spacing w:line="360" w:after="210" w:lineRule="auto"/>
      </w:pPr>
      <w:r>
        <w:rPr>
          <w:rFonts w:eastAsia="inter" w:cs="inter" w:ascii="inter" w:hAnsi="inter"/>
          <w:b/>
          <w:color w:val="000000"/>
        </w:rPr>
        <w:t xml:space="preserve">Contextual Factors</w:t>
      </w:r>
      <w:r>
        <w:rPr>
          <w:rFonts w:eastAsia="inter" w:cs="inter" w:ascii="inter" w:hAnsi="inter"/>
          <w:color w:val="000000"/>
        </w:rPr>
        <w:t xml:space="preserve">: Stress levels, sleep quality, exercise routine, and overall gut health status all influence your tolerance to trigger foods. Consuming potentially problematic foods during high-stress periods or when fighting illness increases reaction likelihood.</w:t>
      </w:r>
      <w:bookmarkStart w:id="15" w:name="fnref11"/>
      <w:bookmarkEnd w:id="15"/>
      <w:hyperlink w:anchor="fn11">
        <w:r>
          <w:rPr>
            <w:rFonts w:eastAsia="inter" w:cs="inter" w:ascii="inter" w:hAnsi="inter"/>
            <w:color w:val="#000"/>
            <w:u w:val="single"/>
            <w:vertAlign w:val="superscript"/>
          </w:rPr>
          <w:t xml:space="preserve">[11]</w:t>
        </w:r>
      </w:hyperlink>
      <w:bookmarkStart w:id="16" w:name="fnref12"/>
      <w:bookmarkEnd w:id="16"/>
      <w:hyperlink w:anchor="fn12">
        <w:r>
          <w:rPr>
            <w:rFonts w:eastAsia="inter" w:cs="inter" w:ascii="inter" w:hAnsi="inter"/>
            <w:color w:val="#000"/>
            <w:u w:val="single"/>
            <w:vertAlign w:val="superscript"/>
          </w:rPr>
          <w:t xml:space="preserve">[12]</w:t>
        </w:r>
      </w:hyperlink>
    </w:p>
    <w:p>
      <w:pPr>
        <w:spacing w:line="360" w:after="210" w:lineRule="auto"/>
      </w:pPr>
      <w:r>
        <w:rPr>
          <w:rFonts w:eastAsia="inter" w:cs="inter" w:ascii="inter" w:hAnsi="inter"/>
          <w:b/>
          <w:color w:val="000000"/>
        </w:rPr>
        <w:t xml:space="preserve">Preparation Methods</w:t>
      </w:r>
      <w:r>
        <w:rPr>
          <w:rFonts w:eastAsia="inter" w:cs="inter" w:ascii="inter" w:hAnsi="inter"/>
          <w:color w:val="000000"/>
        </w:rPr>
        <w:t xml:space="preserve">: How foods are prepared can significantly impact their tolerability. Fermented versions of trigger foods, properly soaked legumes, or well-cooked vegetables may be better tolerated than their raw or processed counterparts.</w:t>
      </w:r>
    </w:p>
    <w:p>
      <w:pPr>
        <w:spacing w:line="360" w:before="315" w:after="105" w:lineRule="auto"/>
        <w:ind w:left="-30"/>
        <w:jc w:val="left"/>
      </w:pPr>
      <w:r>
        <w:rPr>
          <w:rFonts w:eastAsia="inter" w:cs="inter" w:ascii="inter" w:hAnsi="inter"/>
          <w:b/>
          <w:color w:val="000000"/>
          <w:sz w:val="24"/>
        </w:rPr>
        <w:t xml:space="preserve">Building Your Personalized Maintenance Protocol</w:t>
      </w:r>
    </w:p>
    <w:p>
      <w:pPr>
        <w:spacing w:line="360" w:before="315" w:after="105" w:lineRule="auto"/>
        <w:ind w:left="-30"/>
        <w:jc w:val="left"/>
      </w:pPr>
      <w:r>
        <w:rPr>
          <w:rFonts w:eastAsia="inter" w:cs="inter" w:ascii="inter" w:hAnsi="inter"/>
          <w:b/>
          <w:color w:val="000000"/>
          <w:sz w:val="24"/>
        </w:rPr>
        <w:t xml:space="preserve">The Four Pillars of Sustainable Gut Health</w:t>
      </w:r>
    </w:p>
    <w:p>
      <w:pPr>
        <w:spacing w:line="360" w:after="210" w:lineRule="auto"/>
      </w:pPr>
      <w:r>
        <w:rPr>
          <w:rFonts w:eastAsia="inter" w:cs="inter" w:ascii="inter" w:hAnsi="inter"/>
          <w:b/>
          <w:color w:val="000000"/>
        </w:rPr>
        <w:t xml:space="preserve">Pillar 1: Diverse, Plant-Forward Foundation</w:t>
      </w:r>
      <w:r>
        <w:rPr>
          <w:rFonts w:eastAsia="inter" w:cs="inter" w:ascii="inter" w:hAnsi="inter"/>
          <w:color w:val="000000"/>
        </w:rPr>
        <w:br w:type="textWrapping"/>
      </w:r>
      <w:r>
        <w:rPr>
          <w:rFonts w:eastAsia="inter" w:cs="inter" w:ascii="inter" w:hAnsi="inter"/>
          <w:color w:val="000000"/>
        </w:rPr>
        <w:t xml:space="preserve">Maintain a base diet rich in varied plant foods, aiming for 30+ different plant species weekly. This diversity supports microbiome resilience and provides the foundation that allows for occasional indulgences without derailing progress.</w:t>
      </w:r>
      <w:bookmarkStart w:id="17" w:name="fnref13"/>
      <w:bookmarkEnd w:id="17"/>
      <w:hyperlink w:anchor="fn13">
        <w:r>
          <w:rPr>
            <w:rFonts w:eastAsia="inter" w:cs="inter" w:ascii="inter" w:hAnsi="inter"/>
            <w:color w:val="#000"/>
            <w:u w:val="single"/>
            <w:vertAlign w:val="superscript"/>
          </w:rPr>
          <w:t xml:space="preserve">[13]</w:t>
        </w:r>
      </w:hyperlink>
      <w:bookmarkStart w:id="18" w:name="fnref14"/>
      <w:bookmarkEnd w:id="18"/>
      <w:hyperlink w:anchor="fn14">
        <w:r>
          <w:rPr>
            <w:rFonts w:eastAsia="inter" w:cs="inter" w:ascii="inter" w:hAnsi="inter"/>
            <w:color w:val="#000"/>
            <w:u w:val="single"/>
            <w:vertAlign w:val="superscript"/>
          </w:rPr>
          <w:t xml:space="preserve">[14]</w:t>
        </w:r>
      </w:hyperlink>
    </w:p>
    <w:p>
      <w:pPr>
        <w:spacing w:line="360" w:after="210" w:lineRule="auto"/>
      </w:pPr>
      <w:r>
        <w:rPr>
          <w:rFonts w:eastAsia="inter" w:cs="inter" w:ascii="inter" w:hAnsi="inter"/>
          <w:b/>
          <w:color w:val="000000"/>
        </w:rPr>
        <w:t xml:space="preserve">Pillar 2: Strategic Supplementation</w:t>
      </w:r>
      <w:r>
        <w:rPr>
          <w:rFonts w:eastAsia="inter" w:cs="inter" w:ascii="inter" w:hAnsi="inter"/>
          <w:color w:val="000000"/>
        </w:rPr>
        <w:br w:type="textWrapping"/>
      </w:r>
      <w:r>
        <w:rPr>
          <w:rFonts w:eastAsia="inter" w:cs="inter" w:ascii="inter" w:hAnsi="inter"/>
          <w:color w:val="000000"/>
        </w:rPr>
        <w:t xml:space="preserve">Long-term maintenance may require targeted supplementation based on your individual needs and testing results. This might include:</w:t>
      </w:r>
      <w:bookmarkStart w:id="19" w:name="fnref15"/>
      <w:bookmarkEnd w:id="19"/>
      <w:hyperlink w:anchor="fn15">
        <w:r>
          <w:rPr>
            <w:rFonts w:eastAsia="inter" w:cs="inter" w:ascii="inter" w:hAnsi="inter"/>
            <w:color w:val="#000"/>
            <w:u w:val="single"/>
            <w:vertAlign w:val="superscript"/>
          </w:rPr>
          <w:t xml:space="preserve">[15]</w:t>
        </w:r>
      </w:hyperlink>
      <w:bookmarkStart w:id="20" w:name="fnref5:1"/>
      <w:bookmarkEnd w:id="20"/>
      <w:hyperlink w:anchor="fn5">
        <w:r>
          <w:rPr>
            <w:rFonts w:eastAsia="inter" w:cs="inter" w:ascii="inter" w:hAnsi="inter"/>
            <w:color w:val="#000"/>
            <w:u w:val="single"/>
            <w:vertAlign w:val="superscript"/>
          </w:rPr>
          <w:t xml:space="preserve">[5]</w:t>
        </w:r>
      </w:hyperlink>
    </w:p>
    <w:p>
      <w:pPr>
        <w:numPr>
          <w:ilvl w:val="0"/>
          <w:numId w:val="2"/>
        </w:numPr>
        <w:spacing w:line="360" w:before="105" w:after="105" w:lineRule="auto"/>
      </w:pPr>
      <w:r>
        <w:rPr>
          <w:rFonts w:eastAsia="inter" w:cs="inter" w:ascii="inter" w:hAnsi="inter"/>
          <w:color w:val="000000"/>
          <w:sz w:val="21"/>
        </w:rPr>
        <w:t xml:space="preserve">Rotating probiotic strains every 3-4 months to prevent adaptation</w:t>
      </w:r>
    </w:p>
    <w:p>
      <w:pPr>
        <w:numPr>
          <w:ilvl w:val="0"/>
          <w:numId w:val="2"/>
        </w:numPr>
        <w:spacing w:line="360" w:before="105" w:after="105" w:lineRule="auto"/>
      </w:pPr>
      <w:r>
        <w:rPr>
          <w:rFonts w:eastAsia="inter" w:cs="inter" w:ascii="inter" w:hAnsi="inter"/>
          <w:color w:val="000000"/>
          <w:sz w:val="21"/>
        </w:rPr>
        <w:t xml:space="preserve">Seasonal prebiotic fiber adjustments based on food availability and stress levels</w:t>
      </w:r>
    </w:p>
    <w:p>
      <w:pPr>
        <w:numPr>
          <w:ilvl w:val="0"/>
          <w:numId w:val="2"/>
        </w:numPr>
        <w:spacing w:line="360" w:before="105" w:after="105" w:lineRule="auto"/>
      </w:pPr>
      <w:r>
        <w:rPr>
          <w:rFonts w:eastAsia="inter" w:cs="inter" w:ascii="inter" w:hAnsi="inter"/>
          <w:color w:val="000000"/>
          <w:sz w:val="21"/>
        </w:rPr>
        <w:t xml:space="preserve">Digestive enzyme support during periods of dietary flexibility</w:t>
      </w:r>
    </w:p>
    <w:p>
      <w:pPr>
        <w:numPr>
          <w:ilvl w:val="0"/>
          <w:numId w:val="2"/>
        </w:numPr>
        <w:spacing w:line="360" w:before="105" w:after="105" w:lineRule="auto"/>
      </w:pPr>
      <w:r>
        <w:rPr>
          <w:rFonts w:eastAsia="inter" w:cs="inter" w:ascii="inter" w:hAnsi="inter"/>
          <w:color w:val="000000"/>
          <w:sz w:val="21"/>
        </w:rPr>
        <w:t xml:space="preserve">Targeted nutrients for ongoing gut barrier support</w:t>
      </w:r>
    </w:p>
    <w:p>
      <w:pPr>
        <w:spacing w:line="360" w:after="210" w:lineRule="auto"/>
      </w:pPr>
      <w:r>
        <w:rPr>
          <w:rFonts w:eastAsia="inter" w:cs="inter" w:ascii="inter" w:hAnsi="inter"/>
          <w:b/>
          <w:color w:val="000000"/>
        </w:rPr>
        <w:t xml:space="preserve">Pillar 3: Lifestyle Integration</w:t>
      </w:r>
      <w:r>
        <w:rPr>
          <w:rFonts w:eastAsia="inter" w:cs="inter" w:ascii="inter" w:hAnsi="inter"/>
          <w:color w:val="000000"/>
        </w:rPr>
        <w:br w:type="textWrapping"/>
      </w:r>
      <w:r>
        <w:rPr>
          <w:rFonts w:eastAsia="inter" w:cs="inter" w:ascii="inter" w:hAnsi="inter"/>
          <w:color w:val="000000"/>
        </w:rPr>
        <w:t xml:space="preserve">Sustainable gut health requires addressing the lifestyle factors that impact gut function:</w:t>
      </w:r>
      <w:bookmarkStart w:id="21" w:name="fnref16"/>
      <w:bookmarkEnd w:id="21"/>
      <w:hyperlink w:anchor="fn16">
        <w:r>
          <w:rPr>
            <w:rFonts w:eastAsia="inter" w:cs="inter" w:ascii="inter" w:hAnsi="inter"/>
            <w:color w:val="#000"/>
            <w:u w:val="single"/>
            <w:vertAlign w:val="superscript"/>
          </w:rPr>
          <w:t xml:space="preserve">[16]</w:t>
        </w:r>
      </w:hyperlink>
      <w:bookmarkStart w:id="22" w:name="fnref17"/>
      <w:bookmarkEnd w:id="22"/>
      <w:hyperlink w:anchor="fn17">
        <w:r>
          <w:rPr>
            <w:rFonts w:eastAsia="inter" w:cs="inter" w:ascii="inter" w:hAnsi="inter"/>
            <w:color w:val="#000"/>
            <w:u w:val="single"/>
            <w:vertAlign w:val="superscript"/>
          </w:rPr>
          <w:t xml:space="preserve">[17]</w:t>
        </w:r>
      </w:hyperlink>
    </w:p>
    <w:p>
      <w:pPr>
        <w:numPr>
          <w:ilvl w:val="0"/>
          <w:numId w:val="3"/>
        </w:numPr>
        <w:spacing w:line="360" w:before="105" w:after="105" w:lineRule="auto"/>
      </w:pPr>
      <w:r>
        <w:rPr>
          <w:rFonts w:eastAsia="inter" w:cs="inter" w:ascii="inter" w:hAnsi="inter"/>
          <w:color w:val="000000"/>
          <w:sz w:val="21"/>
        </w:rPr>
        <w:t xml:space="preserve">Consistent sleep schedules that support circadian rhythm alignment</w:t>
      </w:r>
    </w:p>
    <w:p>
      <w:pPr>
        <w:numPr>
          <w:ilvl w:val="0"/>
          <w:numId w:val="3"/>
        </w:numPr>
        <w:spacing w:line="360" w:before="105" w:after="105" w:lineRule="auto"/>
      </w:pPr>
      <w:r>
        <w:rPr>
          <w:rFonts w:eastAsia="inter" w:cs="inter" w:ascii="inter" w:hAnsi="inter"/>
          <w:color w:val="000000"/>
          <w:sz w:val="21"/>
        </w:rPr>
        <w:t xml:space="preserve">Regular stress management practices tailored to your preferences and schedule</w:t>
      </w:r>
    </w:p>
    <w:p>
      <w:pPr>
        <w:numPr>
          <w:ilvl w:val="0"/>
          <w:numId w:val="3"/>
        </w:numPr>
        <w:spacing w:line="360" w:before="105" w:after="105" w:lineRule="auto"/>
      </w:pPr>
      <w:r>
        <w:rPr>
          <w:rFonts w:eastAsia="inter" w:cs="inter" w:ascii="inter" w:hAnsi="inter"/>
          <w:color w:val="000000"/>
          <w:sz w:val="21"/>
        </w:rPr>
        <w:t xml:space="preserve">Physical activity that enhances gut motility and microbiome diversity</w:t>
      </w:r>
    </w:p>
    <w:p>
      <w:pPr>
        <w:numPr>
          <w:ilvl w:val="0"/>
          <w:numId w:val="3"/>
        </w:numPr>
        <w:spacing w:line="360" w:before="105" w:after="105" w:lineRule="auto"/>
      </w:pPr>
      <w:r>
        <w:rPr>
          <w:rFonts w:eastAsia="inter" w:cs="inter" w:ascii="inter" w:hAnsi="inter"/>
          <w:color w:val="000000"/>
          <w:sz w:val="21"/>
        </w:rPr>
        <w:t xml:space="preserve">Hydration strategies that support optimal digestive function</w:t>
      </w:r>
    </w:p>
    <w:p>
      <w:pPr>
        <w:spacing w:line="360" w:after="210" w:lineRule="auto"/>
      </w:pPr>
      <w:r>
        <w:rPr>
          <w:rFonts w:eastAsia="inter" w:cs="inter" w:ascii="inter" w:hAnsi="inter"/>
          <w:b/>
          <w:color w:val="000000"/>
        </w:rPr>
        <w:t xml:space="preserve">Pillar 4: Monitoring and Adjustment</w:t>
      </w:r>
      <w:r>
        <w:rPr>
          <w:rFonts w:eastAsia="inter" w:cs="inter" w:ascii="inter" w:hAnsi="inter"/>
          <w:color w:val="000000"/>
        </w:rPr>
        <w:br w:type="textWrapping"/>
      </w:r>
      <w:r>
        <w:rPr>
          <w:rFonts w:eastAsia="inter" w:cs="inter" w:ascii="inter" w:hAnsi="inter"/>
          <w:color w:val="000000"/>
        </w:rPr>
        <w:t xml:space="preserve">Successful maintenance requires ongoing awareness of your gut health status through both subjective symptom tracking and objective measures when appropriate.</w:t>
      </w:r>
      <w:bookmarkStart w:id="23" w:name="fnref18"/>
      <w:bookmarkEnd w:id="23"/>
      <w:hyperlink w:anchor="fn18">
        <w:r>
          <w:rPr>
            <w:rFonts w:eastAsia="inter" w:cs="inter" w:ascii="inter" w:hAnsi="inter"/>
            <w:color w:val="#000"/>
            <w:u w:val="single"/>
            <w:vertAlign w:val="superscript"/>
          </w:rPr>
          <w:t xml:space="preserve">[18]</w:t>
        </w:r>
      </w:hyperlink>
      <w:bookmarkStart w:id="24" w:name="fnref19"/>
      <w:bookmarkEnd w:id="24"/>
      <w:hyperlink w:anchor="fn19">
        <w:r>
          <w:rPr>
            <w:rFonts w:eastAsia="inter" w:cs="inter" w:ascii="inter" w:hAnsi="inter"/>
            <w:color w:val="#000"/>
            <w:u w:val="single"/>
            <w:vertAlign w:val="superscript"/>
          </w:rPr>
          <w:t xml:space="preserve">[19]</w:t>
        </w:r>
      </w:hyperlink>
    </w:p>
    <w:p>
      <w:pPr>
        <w:spacing w:line="360" w:before="315" w:after="105" w:lineRule="auto"/>
        <w:ind w:left="-30"/>
        <w:jc w:val="left"/>
      </w:pPr>
      <w:r>
        <w:rPr>
          <w:rFonts w:eastAsia="inter" w:cs="inter" w:ascii="inter" w:hAnsi="inter"/>
          <w:b/>
          <w:color w:val="000000"/>
          <w:sz w:val="24"/>
        </w:rPr>
        <w:t xml:space="preserve">Advanced Personalization Strategies</w:t>
      </w:r>
    </w:p>
    <w:p>
      <w:pPr>
        <w:spacing w:line="360" w:before="315" w:after="105" w:lineRule="auto"/>
        <w:ind w:left="-30"/>
        <w:jc w:val="left"/>
      </w:pPr>
      <w:r>
        <w:rPr>
          <w:rFonts w:eastAsia="inter" w:cs="inter" w:ascii="inter" w:hAnsi="inter"/>
          <w:b/>
          <w:color w:val="000000"/>
          <w:sz w:val="24"/>
        </w:rPr>
        <w:t xml:space="preserve">Leveraging Technology for Long-Term Success</w:t>
      </w:r>
    </w:p>
    <w:p>
      <w:pPr>
        <w:spacing w:line="360" w:after="210" w:lineRule="auto"/>
      </w:pPr>
      <w:r>
        <w:rPr>
          <w:rFonts w:eastAsia="inter" w:cs="inter" w:ascii="inter" w:hAnsi="inter"/>
          <w:color w:val="000000"/>
        </w:rPr>
        <w:t xml:space="preserve">Modern gut health maintenance can benefit from technological tools that provide objective feedback and help identify subtle patterns.</w:t>
      </w:r>
      <w:bookmarkStart w:id="25" w:name="fnref19:1"/>
      <w:bookmarkEnd w:id="25"/>
      <w:hyperlink w:anchor="fn19">
        <w:r>
          <w:rPr>
            <w:rFonts w:eastAsia="inter" w:cs="inter" w:ascii="inter" w:hAnsi="inter"/>
            <w:color w:val="#000"/>
            <w:u w:val="single"/>
            <w:vertAlign w:val="superscript"/>
          </w:rPr>
          <w:t xml:space="preserve">[19]</w:t>
        </w:r>
      </w:hyperlink>
      <w:bookmarkStart w:id="26" w:name="fnref20"/>
      <w:bookmarkEnd w:id="26"/>
      <w:hyperlink w:anchor="fn20">
        <w:r>
          <w:rPr>
            <w:rFonts w:eastAsia="inter" w:cs="inter" w:ascii="inter" w:hAnsi="inter"/>
            <w:color w:val="#000"/>
            <w:u w:val="single"/>
            <w:vertAlign w:val="superscript"/>
          </w:rPr>
          <w:t xml:space="preserve">[20]</w:t>
        </w:r>
      </w:hyperlink>
      <w:bookmarkStart w:id="27" w:name="fnref18:1"/>
      <w:bookmarkEnd w:id="27"/>
      <w:hyperlink w:anchor="fn18">
        <w:r>
          <w:rPr>
            <w:rFonts w:eastAsia="inter" w:cs="inter" w:ascii="inter" w:hAnsi="inter"/>
            <w:color w:val="#000"/>
            <w:u w:val="single"/>
            <w:vertAlign w:val="superscript"/>
          </w:rPr>
          <w:t xml:space="preserve">[18]</w:t>
        </w:r>
      </w:hyperlink>
    </w:p>
    <w:p>
      <w:pPr>
        <w:spacing w:line="360" w:after="210" w:lineRule="auto"/>
      </w:pPr>
      <w:r>
        <w:rPr>
          <w:rFonts w:eastAsia="inter" w:cs="inter" w:ascii="inter" w:hAnsi="inter"/>
          <w:b/>
          <w:color w:val="000000"/>
        </w:rPr>
        <w:t xml:space="preserve">Microbiome Testing</w:t>
      </w:r>
      <w:r>
        <w:rPr>
          <w:rFonts w:eastAsia="inter" w:cs="inter" w:ascii="inter" w:hAnsi="inter"/>
          <w:color w:val="000000"/>
        </w:rPr>
        <w:t xml:space="preserve">: Periodic gut microbiome analysis (every 6-12 months) can reveal how your bacterial community is responding to your maintenance protocol and guide adjustments.</w:t>
      </w:r>
      <w:bookmarkStart w:id="28" w:name="fnref19:2"/>
      <w:bookmarkEnd w:id="28"/>
      <w:hyperlink w:anchor="fn19">
        <w:r>
          <w:rPr>
            <w:rFonts w:eastAsia="inter" w:cs="inter" w:ascii="inter" w:hAnsi="inter"/>
            <w:color w:val="#000"/>
            <w:u w:val="single"/>
            <w:vertAlign w:val="superscript"/>
          </w:rPr>
          <w:t xml:space="preserve">[19]</w:t>
        </w:r>
      </w:hyperlink>
    </w:p>
    <w:p>
      <w:pPr>
        <w:spacing w:line="360" w:after="210" w:lineRule="auto"/>
      </w:pPr>
      <w:r>
        <w:rPr>
          <w:rFonts w:eastAsia="inter" w:cs="inter" w:ascii="inter" w:hAnsi="inter"/>
          <w:b/>
          <w:color w:val="000000"/>
        </w:rPr>
        <w:t xml:space="preserve">Symptom Tracking Apps</w:t>
      </w:r>
      <w:r>
        <w:rPr>
          <w:rFonts w:eastAsia="inter" w:cs="inter" w:ascii="inter" w:hAnsi="inter"/>
          <w:color w:val="000000"/>
        </w:rPr>
        <w:t xml:space="preserve">: Digital tools that correlate food intake, stress levels, sleep quality, and digestive symptoms can reveal patterns invisible to casual observation.</w:t>
      </w:r>
      <w:bookmarkStart w:id="29" w:name="fnref20:1"/>
      <w:bookmarkEnd w:id="29"/>
      <w:hyperlink w:anchor="fn20">
        <w:r>
          <w:rPr>
            <w:rFonts w:eastAsia="inter" w:cs="inter" w:ascii="inter" w:hAnsi="inter"/>
            <w:color w:val="#000"/>
            <w:u w:val="single"/>
            <w:vertAlign w:val="superscript"/>
          </w:rPr>
          <w:t xml:space="preserve">[20]</w:t>
        </w:r>
      </w:hyperlink>
      <w:bookmarkStart w:id="30" w:name="fnref18:2"/>
      <w:bookmarkEnd w:id="30"/>
      <w:hyperlink w:anchor="fn18">
        <w:r>
          <w:rPr>
            <w:rFonts w:eastAsia="inter" w:cs="inter" w:ascii="inter" w:hAnsi="inter"/>
            <w:color w:val="#000"/>
            <w:u w:val="single"/>
            <w:vertAlign w:val="superscript"/>
          </w:rPr>
          <w:t xml:space="preserve">[18]</w:t>
        </w:r>
      </w:hyperlink>
    </w:p>
    <w:p>
      <w:pPr>
        <w:spacing w:line="360" w:after="210" w:lineRule="auto"/>
      </w:pPr>
      <w:r>
        <w:rPr>
          <w:rFonts w:eastAsia="inter" w:cs="inter" w:ascii="inter" w:hAnsi="inter"/>
          <w:b/>
          <w:color w:val="000000"/>
        </w:rPr>
        <w:t xml:space="preserve">Biomarker Monitoring</w:t>
      </w:r>
      <w:r>
        <w:rPr>
          <w:rFonts w:eastAsia="inter" w:cs="inter" w:ascii="inter" w:hAnsi="inter"/>
          <w:color w:val="000000"/>
        </w:rPr>
        <w:t xml:space="preserve">: Regular assessment of inflammatory markers, nutrient status, and digestive function can provide early warning of declining gut health before symptoms become apparent.</w:t>
      </w:r>
    </w:p>
    <w:p>
      <w:pPr>
        <w:spacing w:line="360" w:before="315" w:after="105" w:lineRule="auto"/>
        <w:ind w:left="-30"/>
        <w:jc w:val="left"/>
      </w:pPr>
      <w:r>
        <w:rPr>
          <w:rFonts w:eastAsia="inter" w:cs="inter" w:ascii="inter" w:hAnsi="inter"/>
          <w:b/>
          <w:color w:val="000000"/>
          <w:sz w:val="24"/>
        </w:rPr>
        <w:t xml:space="preserve">Seasonal Adaptation Protocols</w:t>
      </w:r>
    </w:p>
    <w:p>
      <w:pPr>
        <w:spacing w:line="360" w:after="210" w:lineRule="auto"/>
      </w:pPr>
      <w:r>
        <w:rPr>
          <w:rFonts w:eastAsia="inter" w:cs="inter" w:ascii="inter" w:hAnsi="inter"/>
          <w:color w:val="000000"/>
        </w:rPr>
        <w:t xml:space="preserve">Your gut health needs change throughout the year based on food availability, stress patterns, and environmental factors. Successful maintenance protocols incorporate these natural variations:</w:t>
      </w:r>
      <w:bookmarkStart w:id="31" w:name="fnref21"/>
      <w:bookmarkEnd w:id="31"/>
      <w:hyperlink w:anchor="fn21">
        <w:r>
          <w:rPr>
            <w:rFonts w:eastAsia="inter" w:cs="inter" w:ascii="inter" w:hAnsi="inter"/>
            <w:color w:val="#000"/>
            <w:u w:val="single"/>
            <w:vertAlign w:val="superscript"/>
          </w:rPr>
          <w:t xml:space="preserve">[21]</w:t>
        </w:r>
      </w:hyperlink>
    </w:p>
    <w:p>
      <w:pPr>
        <w:spacing w:line="360" w:after="210" w:lineRule="auto"/>
      </w:pPr>
      <w:r>
        <w:rPr>
          <w:rFonts w:eastAsia="inter" w:cs="inter" w:ascii="inter" w:hAnsi="inter"/>
          <w:b/>
          <w:color w:val="000000"/>
        </w:rPr>
        <w:t xml:space="preserve">Spring Reset</w:t>
      </w:r>
      <w:r>
        <w:rPr>
          <w:rFonts w:eastAsia="inter" w:cs="inter" w:ascii="inter" w:hAnsi="inter"/>
          <w:color w:val="000000"/>
        </w:rPr>
        <w:t xml:space="preserve">: Focus on gentle detoxification support and fresh, seasonal vegetables to support natural renewal processes.</w:t>
      </w:r>
    </w:p>
    <w:p>
      <w:pPr>
        <w:spacing w:line="360" w:after="210" w:lineRule="auto"/>
      </w:pPr>
      <w:r>
        <w:rPr>
          <w:rFonts w:eastAsia="inter" w:cs="inter" w:ascii="inter" w:hAnsi="inter"/>
          <w:b/>
          <w:color w:val="000000"/>
        </w:rPr>
        <w:t xml:space="preserve">Summer Optimization</w:t>
      </w:r>
      <w:r>
        <w:rPr>
          <w:rFonts w:eastAsia="inter" w:cs="inter" w:ascii="inter" w:hAnsi="inter"/>
          <w:color w:val="000000"/>
        </w:rPr>
        <w:t xml:space="preserve">: Take advantage of abundant fresh produce while maintaining hydration during increased activity levels.</w:t>
      </w:r>
    </w:p>
    <w:p>
      <w:pPr>
        <w:spacing w:line="360" w:after="210" w:lineRule="auto"/>
      </w:pPr>
      <w:r>
        <w:rPr>
          <w:rFonts w:eastAsia="inter" w:cs="inter" w:ascii="inter" w:hAnsi="inter"/>
          <w:b/>
          <w:color w:val="000000"/>
        </w:rPr>
        <w:t xml:space="preserve">Fall Preparation</w:t>
      </w:r>
      <w:r>
        <w:rPr>
          <w:rFonts w:eastAsia="inter" w:cs="inter" w:ascii="inter" w:hAnsi="inter"/>
          <w:color w:val="000000"/>
        </w:rPr>
        <w:t xml:space="preserve">: Gradually increase warming, nourishing foods while supporting immune function as stress levels typically increase.</w:t>
      </w:r>
    </w:p>
    <w:p>
      <w:pPr>
        <w:spacing w:line="360" w:after="210" w:lineRule="auto"/>
      </w:pPr>
      <w:r>
        <w:rPr>
          <w:rFonts w:eastAsia="inter" w:cs="inter" w:ascii="inter" w:hAnsi="inter"/>
          <w:b/>
          <w:color w:val="000000"/>
        </w:rPr>
        <w:t xml:space="preserve">Winter Maintenance</w:t>
      </w:r>
      <w:r>
        <w:rPr>
          <w:rFonts w:eastAsia="inter" w:cs="inter" w:ascii="inter" w:hAnsi="inter"/>
          <w:color w:val="000000"/>
        </w:rPr>
        <w:t xml:space="preserve">: Emphasize gut barrier support and stress resilience during the most challenging season for many individuals.</w:t>
      </w:r>
    </w:p>
    <w:p>
      <w:pPr>
        <w:spacing w:line="360" w:before="315" w:after="105" w:lineRule="auto"/>
        <w:ind w:left="-30"/>
        <w:jc w:val="left"/>
      </w:pPr>
      <w:r>
        <w:rPr>
          <w:rFonts w:eastAsia="inter" w:cs="inter" w:ascii="inter" w:hAnsi="inter"/>
          <w:b/>
          <w:color w:val="000000"/>
          <w:sz w:val="24"/>
        </w:rPr>
        <w:t xml:space="preserve">Creating Sustainable Support Systems</w:t>
      </w:r>
    </w:p>
    <w:p>
      <w:pPr>
        <w:spacing w:line="360" w:before="315" w:after="105" w:lineRule="auto"/>
        <w:ind w:left="-30"/>
        <w:jc w:val="left"/>
      </w:pPr>
      <w:r>
        <w:rPr>
          <w:rFonts w:eastAsia="inter" w:cs="inter" w:ascii="inter" w:hAnsi="inter"/>
          <w:b/>
          <w:color w:val="000000"/>
          <w:sz w:val="24"/>
        </w:rPr>
        <w:t xml:space="preserve">Professional Guidance Network</w:t>
      </w:r>
    </w:p>
    <w:p>
      <w:pPr>
        <w:spacing w:line="360" w:after="210" w:lineRule="auto"/>
      </w:pPr>
      <w:r>
        <w:rPr>
          <w:rFonts w:eastAsia="inter" w:cs="inter" w:ascii="inter" w:hAnsi="inter"/>
          <w:color w:val="000000"/>
        </w:rPr>
        <w:t xml:space="preserve">Long-term success often requires a team approach involving healthcare providers who understand the complexity of gut health maintenance:</w:t>
      </w:r>
      <w:bookmarkStart w:id="32" w:name="fnref2:1"/>
      <w:bookmarkEnd w:id="32"/>
      <w:hyperlink w:anchor="fn2">
        <w:r>
          <w:rPr>
            <w:rFonts w:eastAsia="inter" w:cs="inter" w:ascii="inter" w:hAnsi="inter"/>
            <w:color w:val="#000"/>
            <w:u w:val="single"/>
            <w:vertAlign w:val="superscript"/>
          </w:rPr>
          <w:t xml:space="preserve">[2]</w:t>
        </w:r>
      </w:hyperlink>
      <w:bookmarkStart w:id="33" w:name="fnref22"/>
      <w:bookmarkEnd w:id="33"/>
      <w:hyperlink w:anchor="fn22">
        <w:r>
          <w:rPr>
            <w:rFonts w:eastAsia="inter" w:cs="inter" w:ascii="inter" w:hAnsi="inter"/>
            <w:color w:val="#000"/>
            <w:u w:val="single"/>
            <w:vertAlign w:val="superscript"/>
          </w:rPr>
          <w:t xml:space="preserve">[22]</w:t>
        </w:r>
      </w:hyperlink>
    </w:p>
    <w:p>
      <w:pPr>
        <w:spacing w:line="360" w:after="210" w:lineRule="auto"/>
      </w:pPr>
      <w:r>
        <w:rPr>
          <w:rFonts w:eastAsia="inter" w:cs="inter" w:ascii="inter" w:hAnsi="inter"/>
          <w:b/>
          <w:color w:val="000000"/>
        </w:rPr>
        <w:t xml:space="preserve">Functional Medicine Practitioners</w:t>
      </w:r>
      <w:r>
        <w:rPr>
          <w:rFonts w:eastAsia="inter" w:cs="inter" w:ascii="inter" w:hAnsi="inter"/>
          <w:color w:val="000000"/>
        </w:rPr>
        <w:t xml:space="preserve">: Can provide ongoing assessment and adjustment of your protocol based on changing needs.</w:t>
      </w:r>
    </w:p>
    <w:p>
      <w:pPr>
        <w:spacing w:line="360" w:after="210" w:lineRule="auto"/>
      </w:pPr>
      <w:r>
        <w:rPr>
          <w:rFonts w:eastAsia="inter" w:cs="inter" w:ascii="inter" w:hAnsi="inter"/>
          <w:b/>
          <w:color w:val="000000"/>
        </w:rPr>
        <w:t xml:space="preserve">Registered Dietitians</w:t>
      </w:r>
      <w:r>
        <w:rPr>
          <w:rFonts w:eastAsia="inter" w:cs="inter" w:ascii="inter" w:hAnsi="inter"/>
          <w:color w:val="000000"/>
        </w:rPr>
        <w:t xml:space="preserve">: Particularly those specializing in gut health, can help optimize your nutritional approach and guide food reintroduction.</w:t>
      </w:r>
    </w:p>
    <w:p>
      <w:pPr>
        <w:spacing w:line="360" w:after="210" w:lineRule="auto"/>
      </w:pPr>
      <w:r>
        <w:rPr>
          <w:rFonts w:eastAsia="inter" w:cs="inter" w:ascii="inter" w:hAnsi="inter"/>
          <w:b/>
          <w:color w:val="000000"/>
        </w:rPr>
        <w:t xml:space="preserve">Mental Health Professionals</w:t>
      </w:r>
      <w:r>
        <w:rPr>
          <w:rFonts w:eastAsia="inter" w:cs="inter" w:ascii="inter" w:hAnsi="inter"/>
          <w:color w:val="000000"/>
        </w:rPr>
        <w:t xml:space="preserve">: The gut-brain connection means addressing stress, anxiety, and eating behaviors is crucial for long-term success.</w:t>
      </w:r>
    </w:p>
    <w:p>
      <w:pPr>
        <w:spacing w:line="360" w:before="315" w:after="105" w:lineRule="auto"/>
        <w:ind w:left="-30"/>
        <w:jc w:val="left"/>
      </w:pPr>
      <w:r>
        <w:rPr>
          <w:rFonts w:eastAsia="inter" w:cs="inter" w:ascii="inter" w:hAnsi="inter"/>
          <w:b/>
          <w:color w:val="000000"/>
          <w:sz w:val="24"/>
        </w:rPr>
        <w:t xml:space="preserve">Community and Accountability</w:t>
      </w:r>
    </w:p>
    <w:p>
      <w:pPr>
        <w:spacing w:line="360" w:after="210" w:lineRule="auto"/>
      </w:pPr>
      <w:r>
        <w:rPr>
          <w:rFonts w:eastAsia="inter" w:cs="inter" w:ascii="inter" w:hAnsi="inter"/>
          <w:color w:val="000000"/>
        </w:rPr>
        <w:t xml:space="preserve">Building connections with others on similar journeys provides motivation, practical tips, and emotional support during challenging periods.</w:t>
      </w:r>
      <w:bookmarkStart w:id="34" w:name="fnref23"/>
      <w:bookmarkEnd w:id="34"/>
      <w:hyperlink w:anchor="fn23">
        <w:r>
          <w:rPr>
            <w:rFonts w:eastAsia="inter" w:cs="inter" w:ascii="inter" w:hAnsi="inter"/>
            <w:color w:val="#000"/>
            <w:u w:val="single"/>
            <w:vertAlign w:val="superscript"/>
          </w:rPr>
          <w:t xml:space="preserve">[23]</w:t>
        </w:r>
      </w:hyperlink>
      <w:bookmarkStart w:id="35" w:name="fnref17:1"/>
      <w:bookmarkEnd w:id="35"/>
      <w:hyperlink w:anchor="fn17">
        <w:r>
          <w:rPr>
            <w:rFonts w:eastAsia="inter" w:cs="inter" w:ascii="inter" w:hAnsi="inter"/>
            <w:color w:val="#000"/>
            <w:u w:val="single"/>
            <w:vertAlign w:val="superscript"/>
          </w:rPr>
          <w:t xml:space="preserve">[17]</w:t>
        </w:r>
      </w:hyperlink>
    </w:p>
    <w:p>
      <w:pPr>
        <w:spacing w:line="360" w:before="315" w:after="105" w:lineRule="auto"/>
        <w:ind w:left="-30"/>
        <w:jc w:val="left"/>
      </w:pPr>
      <w:r>
        <w:rPr>
          <w:rFonts w:eastAsia="inter" w:cs="inter" w:ascii="inter" w:hAnsi="inter"/>
          <w:b/>
          <w:color w:val="000000"/>
          <w:sz w:val="24"/>
        </w:rPr>
        <w:t xml:space="preserve">Navigating Setbacks and Plateaus</w:t>
      </w:r>
    </w:p>
    <w:p>
      <w:pPr>
        <w:spacing w:line="360" w:before="315" w:after="105" w:lineRule="auto"/>
        <w:ind w:left="-30"/>
        <w:jc w:val="left"/>
      </w:pPr>
      <w:r>
        <w:rPr>
          <w:rFonts w:eastAsia="inter" w:cs="inter" w:ascii="inter" w:hAnsi="inter"/>
          <w:b/>
          <w:color w:val="000000"/>
          <w:sz w:val="24"/>
        </w:rPr>
        <w:t xml:space="preserve">The Reality of Non-Linear Progress</w:t>
      </w:r>
    </w:p>
    <w:p>
      <w:pPr>
        <w:spacing w:line="360" w:after="210" w:lineRule="auto"/>
      </w:pPr>
      <w:r>
        <w:rPr>
          <w:rFonts w:eastAsia="inter" w:cs="inter" w:ascii="inter" w:hAnsi="inter"/>
          <w:color w:val="000000"/>
        </w:rPr>
        <w:t xml:space="preserve">Gut health improvement rarely follows a straight upward trajectory. Understanding and preparing for temporary setbacks helps maintain long-term motivation and prevents abandoning beneficial practices during difficult periods.</w:t>
      </w:r>
      <w:bookmarkStart w:id="36" w:name="fnref17:2"/>
      <w:bookmarkEnd w:id="36"/>
      <w:hyperlink w:anchor="fn17">
        <w:r>
          <w:rPr>
            <w:rFonts w:eastAsia="inter" w:cs="inter" w:ascii="inter" w:hAnsi="inter"/>
            <w:color w:val="#000"/>
            <w:u w:val="single"/>
            <w:vertAlign w:val="superscript"/>
          </w:rPr>
          <w:t xml:space="preserve">[17]</w:t>
        </w:r>
      </w:hyperlink>
      <w:bookmarkStart w:id="37" w:name="fnref9:1"/>
      <w:bookmarkEnd w:id="37"/>
      <w:hyperlink w:anchor="fn9">
        <w:r>
          <w:rPr>
            <w:rFonts w:eastAsia="inter" w:cs="inter" w:ascii="inter" w:hAnsi="inter"/>
            <w:color w:val="#000"/>
            <w:u w:val="single"/>
            <w:vertAlign w:val="superscript"/>
          </w:rPr>
          <w:t xml:space="preserve">[9]</w:t>
        </w:r>
      </w:hyperlink>
    </w:p>
    <w:p>
      <w:pPr>
        <w:spacing w:line="360" w:after="210" w:lineRule="auto"/>
      </w:pPr>
      <w:r>
        <w:rPr>
          <w:rFonts w:eastAsia="inter" w:cs="inter" w:ascii="inter" w:hAnsi="inter"/>
          <w:b/>
          <w:color w:val="000000"/>
        </w:rPr>
        <w:t xml:space="preserve">Stress-Related Flares</w:t>
      </w:r>
      <w:r>
        <w:rPr>
          <w:rFonts w:eastAsia="inter" w:cs="inter" w:ascii="inter" w:hAnsi="inter"/>
          <w:color w:val="000000"/>
        </w:rPr>
        <w:t xml:space="preserve">: High-stress periods may temporarily increase food sensitivities and digestive symptoms. Having a predetermined protocol for managing these episodes prevents permanent regression.</w:t>
      </w:r>
    </w:p>
    <w:p>
      <w:pPr>
        <w:spacing w:line="360" w:after="210" w:lineRule="auto"/>
      </w:pPr>
      <w:r>
        <w:rPr>
          <w:rFonts w:eastAsia="inter" w:cs="inter" w:ascii="inter" w:hAnsi="inter"/>
          <w:b/>
          <w:color w:val="000000"/>
        </w:rPr>
        <w:t xml:space="preserve">Hormonal Fluctuations</w:t>
      </w:r>
      <w:r>
        <w:rPr>
          <w:rFonts w:eastAsia="inter" w:cs="inter" w:ascii="inter" w:hAnsi="inter"/>
          <w:color w:val="000000"/>
        </w:rPr>
        <w:t xml:space="preserve">: Monthly hormonal cycles, life transitions, and aging all impact gut function. Adjusting expectations and protocols during these periods maintains progress.</w:t>
      </w:r>
    </w:p>
    <w:p>
      <w:pPr>
        <w:spacing w:line="360" w:after="210" w:lineRule="auto"/>
      </w:pPr>
      <w:r>
        <w:rPr>
          <w:rFonts w:eastAsia="inter" w:cs="inter" w:ascii="inter" w:hAnsi="inter"/>
          <w:b/>
          <w:color w:val="000000"/>
        </w:rPr>
        <w:t xml:space="preserve">Infection or Illness Recovery</w:t>
      </w:r>
      <w:r>
        <w:rPr>
          <w:rFonts w:eastAsia="inter" w:cs="inter" w:ascii="inter" w:hAnsi="inter"/>
          <w:color w:val="000000"/>
        </w:rPr>
        <w:t xml:space="preserve">: Acute illness or necessary antibiotic treatments may require temporary intensification of gut-supportive practices.</w:t>
      </w:r>
    </w:p>
    <w:p>
      <w:pPr>
        <w:spacing w:line="360" w:before="315" w:after="105" w:lineRule="auto"/>
        <w:ind w:left="-30"/>
        <w:jc w:val="left"/>
      </w:pPr>
      <w:r>
        <w:rPr>
          <w:rFonts w:eastAsia="inter" w:cs="inter" w:ascii="inter" w:hAnsi="inter"/>
          <w:b/>
          <w:color w:val="000000"/>
          <w:sz w:val="24"/>
        </w:rPr>
        <w:t xml:space="preserve">The Plateau Protocol</w:t>
      </w:r>
    </w:p>
    <w:p>
      <w:pPr>
        <w:spacing w:line="360" w:after="210" w:lineRule="auto"/>
      </w:pPr>
      <w:r>
        <w:rPr>
          <w:rFonts w:eastAsia="inter" w:cs="inter" w:ascii="inter" w:hAnsi="inter"/>
          <w:color w:val="000000"/>
        </w:rPr>
        <w:t xml:space="preserve">When progress stalls, systematic evaluation and adjustment can restart improvement:</w:t>
      </w:r>
    </w:p>
    <w:p>
      <w:pPr>
        <w:numPr>
          <w:ilvl w:val="0"/>
          <w:numId w:val="4"/>
        </w:numPr>
        <w:spacing w:line="360" w:before="105" w:after="105" w:lineRule="auto"/>
      </w:pPr>
      <w:r>
        <w:rPr>
          <w:rFonts w:eastAsia="inter" w:cs="inter" w:ascii="inter" w:hAnsi="inter"/>
          <w:b/>
          <w:color w:val="000000"/>
          <w:sz w:val="21"/>
        </w:rPr>
        <w:t xml:space="preserve">Assess Compliance</w:t>
      </w:r>
      <w:r>
        <w:rPr>
          <w:rFonts w:eastAsia="inter" w:cs="inter" w:ascii="inter" w:hAnsi="inter"/>
          <w:color w:val="000000"/>
          <w:sz w:val="21"/>
        </w:rPr>
        <w:t xml:space="preserve">: Honestly evaluate adherence to your maintenance protocol</w:t>
      </w:r>
    </w:p>
    <w:p>
      <w:pPr>
        <w:numPr>
          <w:ilvl w:val="0"/>
          <w:numId w:val="4"/>
        </w:numPr>
        <w:spacing w:line="360" w:before="105" w:after="105" w:lineRule="auto"/>
      </w:pPr>
      <w:r>
        <w:rPr>
          <w:rFonts w:eastAsia="inter" w:cs="inter" w:ascii="inter" w:hAnsi="inter"/>
          <w:b/>
          <w:color w:val="000000"/>
          <w:sz w:val="21"/>
        </w:rPr>
        <w:t xml:space="preserve">Review Life Factors</w:t>
      </w:r>
      <w:r>
        <w:rPr>
          <w:rFonts w:eastAsia="inter" w:cs="inter" w:ascii="inter" w:hAnsi="inter"/>
          <w:color w:val="000000"/>
          <w:sz w:val="21"/>
        </w:rPr>
        <w:t xml:space="preserve">: Identify any changes in stress, sleep, or activity that might impact gut health</w:t>
      </w:r>
    </w:p>
    <w:p>
      <w:pPr>
        <w:numPr>
          <w:ilvl w:val="0"/>
          <w:numId w:val="4"/>
        </w:numPr>
        <w:spacing w:line="360" w:before="105" w:after="105" w:lineRule="auto"/>
      </w:pPr>
      <w:r>
        <w:rPr>
          <w:rFonts w:eastAsia="inter" w:cs="inter" w:ascii="inter" w:hAnsi="inter"/>
          <w:b/>
          <w:color w:val="000000"/>
          <w:sz w:val="21"/>
        </w:rPr>
        <w:t xml:space="preserve">Consider Testing</w:t>
      </w:r>
      <w:r>
        <w:rPr>
          <w:rFonts w:eastAsia="inter" w:cs="inter" w:ascii="inter" w:hAnsi="inter"/>
          <w:color w:val="000000"/>
          <w:sz w:val="21"/>
        </w:rPr>
        <w:t xml:space="preserve">: Gut microbiome analysis or comprehensive stool testing may reveal issues not apparent through symptoms alone</w:t>
      </w:r>
    </w:p>
    <w:p>
      <w:pPr>
        <w:numPr>
          <w:ilvl w:val="0"/>
          <w:numId w:val="4"/>
        </w:numPr>
        <w:spacing w:line="360" w:before="105" w:after="105" w:lineRule="auto"/>
      </w:pPr>
      <w:r>
        <w:rPr>
          <w:rFonts w:eastAsia="inter" w:cs="inter" w:ascii="inter" w:hAnsi="inter"/>
          <w:b/>
          <w:color w:val="000000"/>
          <w:sz w:val="21"/>
        </w:rPr>
        <w:t xml:space="preserve">Modify Approach</w:t>
      </w:r>
      <w:r>
        <w:rPr>
          <w:rFonts w:eastAsia="inter" w:cs="inter" w:ascii="inter" w:hAnsi="inter"/>
          <w:color w:val="000000"/>
          <w:sz w:val="21"/>
        </w:rPr>
        <w:t xml:space="preserve">: Adjust supplementation, try new foods, or alter meal timing based on assessment results</w:t>
      </w:r>
    </w:p>
    <w:p>
      <w:pPr>
        <w:spacing w:line="360" w:before="315" w:after="105" w:lineRule="auto"/>
        <w:ind w:left="-30"/>
        <w:jc w:val="left"/>
      </w:pPr>
      <w:r>
        <w:rPr>
          <w:rFonts w:eastAsia="inter" w:cs="inter" w:ascii="inter" w:hAnsi="inter"/>
          <w:b/>
          <w:color w:val="000000"/>
          <w:sz w:val="24"/>
        </w:rPr>
        <w:t xml:space="preserve">Long-Term Success Metrics</w:t>
      </w:r>
    </w:p>
    <w:p>
      <w:pPr>
        <w:spacing w:line="360" w:before="315" w:after="105" w:lineRule="auto"/>
        <w:ind w:left="-30"/>
        <w:jc w:val="left"/>
      </w:pPr>
      <w:r>
        <w:rPr>
          <w:rFonts w:eastAsia="inter" w:cs="inter" w:ascii="inter" w:hAnsi="inter"/>
          <w:b/>
          <w:color w:val="000000"/>
          <w:sz w:val="24"/>
        </w:rPr>
        <w:t xml:space="preserve">Beyond Symptom Management</w:t>
      </w:r>
    </w:p>
    <w:p>
      <w:pPr>
        <w:spacing w:line="360" w:after="210" w:lineRule="auto"/>
      </w:pPr>
      <w:r>
        <w:rPr>
          <w:rFonts w:eastAsia="inter" w:cs="inter" w:ascii="inter" w:hAnsi="inter"/>
          <w:color w:val="000000"/>
        </w:rPr>
        <w:t xml:space="preserve">True gut health maintenance success extends beyond simply avoiding digestive symptoms:</w:t>
      </w:r>
      <w:bookmarkStart w:id="38" w:name="fnref9:2"/>
      <w:bookmarkEnd w:id="38"/>
      <w:hyperlink w:anchor="fn9">
        <w:r>
          <w:rPr>
            <w:rFonts w:eastAsia="inter" w:cs="inter" w:ascii="inter" w:hAnsi="inter"/>
            <w:color w:val="#000"/>
            <w:u w:val="single"/>
            <w:vertAlign w:val="superscript"/>
          </w:rPr>
          <w:t xml:space="preserve">[9]</w:t>
        </w:r>
      </w:hyperlink>
    </w:p>
    <w:p>
      <w:pPr>
        <w:spacing w:line="360" w:after="210" w:lineRule="auto"/>
      </w:pPr>
      <w:r>
        <w:rPr>
          <w:rFonts w:eastAsia="inter" w:cs="inter" w:ascii="inter" w:hAnsi="inter"/>
          <w:b/>
          <w:color w:val="000000"/>
        </w:rPr>
        <w:t xml:space="preserve">Energy Stability</w:t>
      </w:r>
      <w:r>
        <w:rPr>
          <w:rFonts w:eastAsia="inter" w:cs="inter" w:ascii="inter" w:hAnsi="inter"/>
          <w:color w:val="000000"/>
        </w:rPr>
        <w:t xml:space="preserve">: Consistent energy levels throughout the day without afternoon crashes or morning sluggishness.</w:t>
      </w:r>
    </w:p>
    <w:p>
      <w:pPr>
        <w:spacing w:line="360" w:after="210" w:lineRule="auto"/>
      </w:pPr>
      <w:r>
        <w:rPr>
          <w:rFonts w:eastAsia="inter" w:cs="inter" w:ascii="inter" w:hAnsi="inter"/>
          <w:b/>
          <w:color w:val="000000"/>
        </w:rPr>
        <w:t xml:space="preserve">Mood Resilience</w:t>
      </w:r>
      <w:r>
        <w:rPr>
          <w:rFonts w:eastAsia="inter" w:cs="inter" w:ascii="inter" w:hAnsi="inter"/>
          <w:color w:val="000000"/>
        </w:rPr>
        <w:t xml:space="preserve">: Improved stress tolerance and emotional stability reflecting optimal gut-brain communication.</w:t>
      </w:r>
    </w:p>
    <w:p>
      <w:pPr>
        <w:spacing w:line="360" w:after="210" w:lineRule="auto"/>
      </w:pPr>
      <w:r>
        <w:rPr>
          <w:rFonts w:eastAsia="inter" w:cs="inter" w:ascii="inter" w:hAnsi="inter"/>
          <w:b/>
          <w:color w:val="000000"/>
        </w:rPr>
        <w:t xml:space="preserve">Immune Function</w:t>
      </w:r>
      <w:r>
        <w:rPr>
          <w:rFonts w:eastAsia="inter" w:cs="inter" w:ascii="inter" w:hAnsi="inter"/>
          <w:color w:val="000000"/>
        </w:rPr>
        <w:t xml:space="preserve">: Reduced frequency and severity of infections, indicating robust gut-mediated immunity.</w:t>
      </w:r>
    </w:p>
    <w:p>
      <w:pPr>
        <w:spacing w:line="360" w:after="210" w:lineRule="auto"/>
      </w:pPr>
      <w:r>
        <w:rPr>
          <w:rFonts w:eastAsia="inter" w:cs="inter" w:ascii="inter" w:hAnsi="inter"/>
          <w:b/>
          <w:color w:val="000000"/>
        </w:rPr>
        <w:t xml:space="preserve">Cognitive Clarity</w:t>
      </w:r>
      <w:r>
        <w:rPr>
          <w:rFonts w:eastAsia="inter" w:cs="inter" w:ascii="inter" w:hAnsi="inter"/>
          <w:color w:val="000000"/>
        </w:rPr>
        <w:t xml:space="preserve">: Enhanced focus, memory, and mental clarity resulting from reduced inflammation and optimized nutrient absorption.</w:t>
      </w:r>
    </w:p>
    <w:p>
      <w:pPr>
        <w:spacing w:line="360" w:after="210" w:lineRule="auto"/>
      </w:pPr>
      <w:r>
        <w:rPr>
          <w:rFonts w:eastAsia="inter" w:cs="inter" w:ascii="inter" w:hAnsi="inter"/>
          <w:b/>
          <w:color w:val="000000"/>
        </w:rPr>
        <w:t xml:space="preserve">Physical Vitality</w:t>
      </w:r>
      <w:r>
        <w:rPr>
          <w:rFonts w:eastAsia="inter" w:cs="inter" w:ascii="inter" w:hAnsi="inter"/>
          <w:color w:val="000000"/>
        </w:rPr>
        <w:t xml:space="preserve">: Improved exercise recovery, healthy weight maintenance, and overall sense of physical well-being.</w:t>
      </w:r>
    </w:p>
    <w:p>
      <w:pPr>
        <w:spacing w:line="360" w:before="315" w:after="105" w:lineRule="auto"/>
        <w:ind w:left="-30"/>
        <w:jc w:val="left"/>
      </w:pPr>
      <w:r>
        <w:rPr>
          <w:rFonts w:eastAsia="inter" w:cs="inter" w:ascii="inter" w:hAnsi="inter"/>
          <w:b/>
          <w:color w:val="000000"/>
          <w:sz w:val="24"/>
        </w:rPr>
        <w:t xml:space="preserve">The Lifelong Journey Perspective</w:t>
      </w:r>
    </w:p>
    <w:p>
      <w:pPr>
        <w:spacing w:line="360" w:after="210" w:lineRule="auto"/>
      </w:pPr>
      <w:r>
        <w:rPr>
          <w:rFonts w:eastAsia="inter" w:cs="inter" w:ascii="inter" w:hAnsi="inter"/>
          <w:color w:val="000000"/>
        </w:rPr>
        <w:t xml:space="preserve">Maintaining optimal gut health is not a destination but an ongoing journey of self-discovery, adaptation, and growth. Success comes from developing the skills, knowledge, and support systems needed to navigate this journey with confidence and flexibility.</w:t>
      </w:r>
      <w:bookmarkStart w:id="39" w:name="fnref17:3"/>
      <w:bookmarkEnd w:id="39"/>
      <w:hyperlink w:anchor="fn17">
        <w:r>
          <w:rPr>
            <w:rFonts w:eastAsia="inter" w:cs="inter" w:ascii="inter" w:hAnsi="inter"/>
            <w:color w:val="#000"/>
            <w:u w:val="single"/>
            <w:vertAlign w:val="superscript"/>
          </w:rPr>
          <w:t xml:space="preserve">[17]</w:t>
        </w:r>
      </w:hyperlink>
      <w:bookmarkStart w:id="40" w:name="fnref21:1"/>
      <w:bookmarkEnd w:id="40"/>
      <w:hyperlink w:anchor="fn21">
        <w:r>
          <w:rPr>
            <w:rFonts w:eastAsia="inter" w:cs="inter" w:ascii="inter" w:hAnsi="inter"/>
            <w:color w:val="#000"/>
            <w:u w:val="single"/>
            <w:vertAlign w:val="superscript"/>
          </w:rPr>
          <w:t xml:space="preserve">[21]</w:t>
        </w:r>
      </w:hyperlink>
    </w:p>
    <w:p>
      <w:pPr>
        <w:spacing w:line="360" w:after="210" w:lineRule="auto"/>
      </w:pPr>
      <w:r>
        <w:rPr>
          <w:rFonts w:eastAsia="inter" w:cs="inter" w:ascii="inter" w:hAnsi="inter"/>
          <w:color w:val="000000"/>
        </w:rPr>
        <w:t xml:space="preserve">The investment in creating a sustainable gut health maintenance protocol pays dividends far beyond digestive comfort. It establishes the foundation for lifelong vitality, resilience, and well-being that adapts and evolves with your changing life circumstances.</w:t>
      </w:r>
    </w:p>
    <w:p>
      <w:pPr>
        <w:spacing w:line="360" w:after="210" w:lineRule="auto"/>
      </w:pPr>
      <w:r>
        <w:rPr>
          <w:rFonts w:eastAsia="inter" w:cs="inter" w:ascii="inter" w:hAnsi="inter"/>
          <w:color w:val="000000"/>
        </w:rPr>
        <w:t xml:space="preserve">Remember that true success in gut health maintenance lies not in perfect adherence to rigid rules, but in developing the wisdom to know when to be strict and when to be flexible, creating a sustainable approach that serves your health goals while enhancing your quality of life. This balanced perspective transforms gut health from a burden into a source of empowerment and vitality that supports all aspects of your well-being.</w:t>
      </w:r>
      <w:r>
        <w:rPr>
          <w:rFonts w:eastAsia="inter" w:cs="inter" w:ascii="inter" w:hAnsi="inter"/>
          <w:color w:val="000000"/>
        </w:rPr>
        <w:br w:type="textWrapping"/>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41" w:name="fn1"/>
    <w:bookmarkEnd w:id="41"/>
    <w:p>
      <w:pPr>
        <w:numPr>
          <w:ilvl w:val="0"/>
          <w:numId w:val="6"/>
        </w:numPr>
        <w:spacing w:line="360" w:after="210" w:lineRule="auto"/>
      </w:pPr>
      <w:hyperlink r:id="rId6">
        <w:r>
          <w:rPr>
            <w:rFonts w:eastAsia="inter" w:cs="inter" w:ascii="inter" w:hAnsi="inter"/>
            <w:color w:val="#000"/>
            <w:sz w:val="18"/>
            <w:u w:val="single"/>
          </w:rPr>
          <w:t xml:space="preserve">https://pmc.ncbi.nlm.nih.gov/articles/PMC10773664/</w:t>
        </w:r>
      </w:hyperlink>
      <w:r>
        <w:rPr>
          <w:rFonts w:eastAsia="inter" w:cs="inter" w:ascii="inter" w:hAnsi="inter"/>
          <w:color w:val="000000"/>
          <w:sz w:val="18"/>
        </w:rPr>
        <w:t xml:space="preserve"> </w:t>
      </w:r>
    </w:p>
    <w:bookmarkStart w:id="42" w:name="fn2"/>
    <w:bookmarkEnd w:id="42"/>
    <w:p>
      <w:pPr>
        <w:numPr>
          <w:ilvl w:val="0"/>
          <w:numId w:val="6"/>
        </w:numPr>
        <w:spacing w:line="360" w:after="210" w:lineRule="auto"/>
      </w:pPr>
      <w:hyperlink r:id="rId7">
        <w:r>
          <w:rPr>
            <w:rFonts w:eastAsia="inter" w:cs="inter" w:ascii="inter" w:hAnsi="inter"/>
            <w:color w:val="#000"/>
            <w:sz w:val="18"/>
            <w:u w:val="single"/>
          </w:rPr>
          <w:t xml:space="preserve">https://windsordigestivehealth.com/a-basic-guide-to-restore-gut-health/</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43" w:name="fn3"/>
    <w:bookmarkEnd w:id="43"/>
    <w:p>
      <w:pPr>
        <w:numPr>
          <w:ilvl w:val="0"/>
          <w:numId w:val="6"/>
        </w:numPr>
        <w:spacing w:line="360" w:after="210" w:lineRule="auto"/>
      </w:pPr>
      <w:hyperlink r:id="rId8">
        <w:r>
          <w:rPr>
            <w:rFonts w:eastAsia="inter" w:cs="inter" w:ascii="inter" w:hAnsi="inter"/>
            <w:color w:val="#000"/>
            <w:sz w:val="18"/>
            <w:u w:val="single"/>
          </w:rPr>
          <w:t xml:space="preserve">https://eliterapidcare.com/gut-health-weight-loss/</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44" w:name="fn4"/>
    <w:bookmarkEnd w:id="44"/>
    <w:p>
      <w:pPr>
        <w:numPr>
          <w:ilvl w:val="0"/>
          <w:numId w:val="6"/>
        </w:numPr>
        <w:spacing w:line="360" w:after="210" w:lineRule="auto"/>
      </w:pPr>
      <w:hyperlink r:id="rId9">
        <w:r>
          <w:rPr>
            <w:rFonts w:eastAsia="inter" w:cs="inter" w:ascii="inter" w:hAnsi="inter"/>
            <w:color w:val="#000"/>
            <w:sz w:val="18"/>
            <w:u w:val="single"/>
          </w:rPr>
          <w:t xml:space="preserve">https://amwayapps.amway2u.com/hybris/landing-page/GutReset/PDF/GutResetUserManual.pdf</w:t>
        </w:r>
      </w:hyperlink>
      <w:r>
        <w:rPr>
          <w:rFonts w:eastAsia="inter" w:cs="inter" w:ascii="inter" w:hAnsi="inter"/>
          <w:color w:val="000000"/>
          <w:sz w:val="18"/>
        </w:rPr>
        <w:t xml:space="preserve"> </w:t>
      </w:r>
    </w:p>
    <w:bookmarkStart w:id="45" w:name="fn5"/>
    <w:bookmarkEnd w:id="45"/>
    <w:p>
      <w:pPr>
        <w:numPr>
          <w:ilvl w:val="0"/>
          <w:numId w:val="6"/>
        </w:numPr>
        <w:spacing w:line="360" w:after="210" w:lineRule="auto"/>
      </w:pPr>
      <w:r>
        <w:rPr>
          <w:rFonts w:eastAsia="inter" w:cs="inter" w:ascii="inter" w:hAnsi="inter"/>
          <w:color w:val="000000"/>
          <w:sz w:val="18"/>
        </w:rPr>
        <w:t xml:space="preserve">The-Gut-Microbiome-Mastery-Guide_-How-Beneficial-Bacteria-Shape-Your-Health-and-How-to-Feed-Them.pdf </w:t>
      </w:r>
      <w:r>
        <w:rPr>
          <w:rFonts w:eastAsia="inter" w:cs="inter" w:ascii="inter" w:hAnsi="inter"/>
          <w:color w:val="000000"/>
          <w:sz w:val="18"/>
        </w:rPr>
        <w:t xml:space="preserve"> </w:t>
      </w:r>
    </w:p>
    <w:bookmarkStart w:id="46" w:name="fn6"/>
    <w:bookmarkEnd w:id="46"/>
    <w:p>
      <w:pPr>
        <w:numPr>
          <w:ilvl w:val="0"/>
          <w:numId w:val="6"/>
        </w:numPr>
        <w:spacing w:line="360" w:after="210" w:lineRule="auto"/>
      </w:pPr>
      <w:r>
        <w:rPr>
          <w:rFonts w:eastAsia="inter" w:cs="inter" w:ascii="inter" w:hAnsi="inter"/>
          <w:color w:val="000000"/>
          <w:sz w:val="18"/>
        </w:rPr>
        <w:t xml:space="preserve">Baseline-Elimination-Diet-A-Step-by-Step-Guide-to-Reset-Your-Gut.pdf </w:t>
      </w:r>
      <w:r>
        <w:rPr>
          <w:rFonts w:eastAsia="inter" w:cs="inter" w:ascii="inter" w:hAnsi="inter"/>
          <w:color w:val="000000"/>
          <w:sz w:val="18"/>
        </w:rPr>
        <w:t xml:space="preserve"> </w:t>
      </w:r>
    </w:p>
    <w:bookmarkStart w:id="47" w:name="fn7"/>
    <w:bookmarkEnd w:id="47"/>
    <w:p>
      <w:pPr>
        <w:numPr>
          <w:ilvl w:val="0"/>
          <w:numId w:val="6"/>
        </w:numPr>
        <w:spacing w:line="360" w:after="210" w:lineRule="auto"/>
      </w:pPr>
      <w:hyperlink r:id="rId10">
        <w:r>
          <w:rPr>
            <w:rFonts w:eastAsia="inter" w:cs="inter" w:ascii="inter" w:hAnsi="inter"/>
            <w:color w:val="#000"/>
            <w:sz w:val="18"/>
            <w:u w:val="single"/>
          </w:rPr>
          <w:t xml:space="preserve">https://www.usenourish.com/blog/aip-reintroduction</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48" w:name="fn8"/>
    <w:bookmarkEnd w:id="48"/>
    <w:p>
      <w:pPr>
        <w:numPr>
          <w:ilvl w:val="0"/>
          <w:numId w:val="6"/>
        </w:numPr>
        <w:spacing w:line="360" w:after="210" w:lineRule="auto"/>
      </w:pPr>
      <w:hyperlink r:id="rId11">
        <w:r>
          <w:rPr>
            <w:rFonts w:eastAsia="inter" w:cs="inter" w:ascii="inter" w:hAnsi="inter"/>
            <w:color w:val="#000"/>
            <w:sz w:val="18"/>
            <w:u w:val="single"/>
          </w:rPr>
          <w:t xml:space="preserve">https://nutritionresolution.com/fodmap-reintroduction-phase-chart-complete-guide-with-food-list-pdf/</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49" w:name="fn9"/>
    <w:bookmarkEnd w:id="49"/>
    <w:p>
      <w:pPr>
        <w:numPr>
          <w:ilvl w:val="0"/>
          <w:numId w:val="6"/>
        </w:numPr>
        <w:spacing w:line="360" w:after="210" w:lineRule="auto"/>
      </w:pPr>
      <w:hyperlink r:id="rId12">
        <w:r>
          <w:rPr>
            <w:rFonts w:eastAsia="inter" w:cs="inter" w:ascii="inter" w:hAnsi="inter"/>
            <w:color w:val="#000"/>
            <w:sz w:val="18"/>
            <w:u w:val="single"/>
          </w:rPr>
          <w:t xml:space="preserve">https://www.evergreendoctors.com/blog/how-to-tell-that-your-gut-is-healing</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50" w:name="fn10"/>
    <w:bookmarkEnd w:id="50"/>
    <w:p>
      <w:pPr>
        <w:numPr>
          <w:ilvl w:val="0"/>
          <w:numId w:val="6"/>
        </w:numPr>
        <w:spacing w:line="360" w:after="210" w:lineRule="auto"/>
      </w:pPr>
      <w:hyperlink r:id="rId13">
        <w:r>
          <w:rPr>
            <w:rFonts w:eastAsia="inter" w:cs="inter" w:ascii="inter" w:hAnsi="inter"/>
            <w:color w:val="#000"/>
            <w:sz w:val="18"/>
            <w:u w:val="single"/>
          </w:rPr>
          <w:t xml:space="preserve">https://pmc.ncbi.nlm.nih.gov/articles/PMC6682904/</w:t>
        </w:r>
      </w:hyperlink>
      <w:r>
        <w:rPr>
          <w:rFonts w:eastAsia="inter" w:cs="inter" w:ascii="inter" w:hAnsi="inter"/>
          <w:color w:val="000000"/>
          <w:sz w:val="18"/>
        </w:rPr>
        <w:t xml:space="preserve"> </w:t>
      </w:r>
    </w:p>
    <w:bookmarkStart w:id="51" w:name="fn11"/>
    <w:bookmarkEnd w:id="51"/>
    <w:p>
      <w:pPr>
        <w:numPr>
          <w:ilvl w:val="0"/>
          <w:numId w:val="6"/>
        </w:numPr>
        <w:spacing w:line="360" w:after="210" w:lineRule="auto"/>
      </w:pPr>
      <w:hyperlink r:id="rId14">
        <w:r>
          <w:rPr>
            <w:rFonts w:eastAsia="inter" w:cs="inter" w:ascii="inter" w:hAnsi="inter"/>
            <w:color w:val="#000"/>
            <w:sz w:val="18"/>
            <w:u w:val="single"/>
          </w:rPr>
          <w:t xml:space="preserve">https://www.frontiersin.org/articles/10.3389/fmicb.2014.00494/pdf</w:t>
        </w:r>
      </w:hyperlink>
      <w:r>
        <w:rPr>
          <w:rFonts w:eastAsia="inter" w:cs="inter" w:ascii="inter" w:hAnsi="inter"/>
          <w:color w:val="000000"/>
          <w:sz w:val="18"/>
        </w:rPr>
        <w:t xml:space="preserve"> </w:t>
      </w:r>
    </w:p>
    <w:bookmarkStart w:id="52" w:name="fn12"/>
    <w:bookmarkEnd w:id="52"/>
    <w:p>
      <w:pPr>
        <w:numPr>
          <w:ilvl w:val="0"/>
          <w:numId w:val="6"/>
        </w:numPr>
        <w:spacing w:line="360" w:after="210" w:lineRule="auto"/>
      </w:pPr>
      <w:hyperlink r:id="rId15">
        <w:r>
          <w:rPr>
            <w:rFonts w:eastAsia="inter" w:cs="inter" w:ascii="inter" w:hAnsi="inter"/>
            <w:color w:val="#000"/>
            <w:sz w:val="18"/>
            <w:u w:val="single"/>
          </w:rPr>
          <w:t xml:space="preserve">https://www.biotechnologia-journal.org/Second-brain-reviewing-the-gut-microbiome-s-role-in-lifestyle-diseases,195495,0,2.html</w:t>
        </w:r>
      </w:hyperlink>
      <w:r>
        <w:rPr>
          <w:rFonts w:eastAsia="inter" w:cs="inter" w:ascii="inter" w:hAnsi="inter"/>
          <w:color w:val="000000"/>
          <w:sz w:val="18"/>
        </w:rPr>
        <w:t xml:space="preserve"> </w:t>
      </w:r>
    </w:p>
    <w:bookmarkStart w:id="53" w:name="fn13"/>
    <w:bookmarkEnd w:id="53"/>
    <w:p>
      <w:pPr>
        <w:numPr>
          <w:ilvl w:val="0"/>
          <w:numId w:val="6"/>
        </w:numPr>
        <w:spacing w:line="360" w:after="210" w:lineRule="auto"/>
      </w:pPr>
      <w:hyperlink r:id="rId16">
        <w:r>
          <w:rPr>
            <w:rFonts w:eastAsia="inter" w:cs="inter" w:ascii="inter" w:hAnsi="inter"/>
            <w:color w:val="#000"/>
            <w:sz w:val="18"/>
            <w:u w:val="single"/>
          </w:rPr>
          <w:t xml:space="preserve">https://www.betterhealth.vic.gov.au/health/healthyliving/gut-health</w:t>
        </w:r>
      </w:hyperlink>
      <w:r>
        <w:rPr>
          <w:rFonts w:eastAsia="inter" w:cs="inter" w:ascii="inter" w:hAnsi="inter"/>
          <w:color w:val="000000"/>
          <w:sz w:val="18"/>
        </w:rPr>
        <w:t xml:space="preserve"> </w:t>
      </w:r>
    </w:p>
    <w:bookmarkStart w:id="54" w:name="fn14"/>
    <w:bookmarkEnd w:id="54"/>
    <w:p>
      <w:pPr>
        <w:numPr>
          <w:ilvl w:val="0"/>
          <w:numId w:val="6"/>
        </w:numPr>
        <w:spacing w:line="360" w:after="210" w:lineRule="auto"/>
      </w:pPr>
      <w:hyperlink r:id="rId17">
        <w:r>
          <w:rPr>
            <w:rFonts w:eastAsia="inter" w:cs="inter" w:ascii="inter" w:hAnsi="inter"/>
            <w:color w:val="#000"/>
            <w:sz w:val="18"/>
            <w:u w:val="single"/>
          </w:rPr>
          <w:t xml:space="preserve">https://zoe.com/learn/how-to-improve-gut-health</w:t>
        </w:r>
      </w:hyperlink>
      <w:r>
        <w:rPr>
          <w:rFonts w:eastAsia="inter" w:cs="inter" w:ascii="inter" w:hAnsi="inter"/>
          <w:color w:val="000000"/>
          <w:sz w:val="18"/>
        </w:rPr>
        <w:t xml:space="preserve"> </w:t>
      </w:r>
    </w:p>
    <w:bookmarkStart w:id="55" w:name="fn15"/>
    <w:bookmarkEnd w:id="55"/>
    <w:p>
      <w:pPr>
        <w:numPr>
          <w:ilvl w:val="0"/>
          <w:numId w:val="6"/>
        </w:numPr>
        <w:spacing w:line="360" w:after="210" w:lineRule="auto"/>
      </w:pPr>
      <w:hyperlink r:id="rId18">
        <w:r>
          <w:rPr>
            <w:rFonts w:eastAsia="inter" w:cs="inter" w:ascii="inter" w:hAnsi="inter"/>
            <w:color w:val="#000"/>
            <w:sz w:val="18"/>
            <w:u w:val="single"/>
          </w:rPr>
          <w:t xml:space="preserve">https://onlinelibrary.wiley.com/doi/10.1002/mco2.420</w:t>
        </w:r>
      </w:hyperlink>
      <w:r>
        <w:rPr>
          <w:rFonts w:eastAsia="inter" w:cs="inter" w:ascii="inter" w:hAnsi="inter"/>
          <w:color w:val="000000"/>
          <w:sz w:val="18"/>
        </w:rPr>
        <w:t xml:space="preserve"> </w:t>
      </w:r>
    </w:p>
    <w:bookmarkStart w:id="56" w:name="fn16"/>
    <w:bookmarkEnd w:id="56"/>
    <w:p>
      <w:pPr>
        <w:numPr>
          <w:ilvl w:val="0"/>
          <w:numId w:val="6"/>
        </w:numPr>
        <w:spacing w:line="360" w:after="210" w:lineRule="auto"/>
      </w:pPr>
      <w:r>
        <w:rPr>
          <w:rFonts w:eastAsia="inter" w:cs="inter" w:ascii="inter" w:hAnsi="inter"/>
          <w:color w:val="000000"/>
          <w:sz w:val="18"/>
        </w:rPr>
        <w:t xml:space="preserve">The-Hidden-Connection_-How-Sleep-Stress-and-Move.pdf </w:t>
      </w:r>
    </w:p>
    <w:bookmarkStart w:id="57" w:name="fn17"/>
    <w:bookmarkEnd w:id="57"/>
    <w:p>
      <w:pPr>
        <w:numPr>
          <w:ilvl w:val="0"/>
          <w:numId w:val="6"/>
        </w:numPr>
        <w:spacing w:line="360" w:after="210" w:lineRule="auto"/>
      </w:pPr>
      <w:hyperlink r:id="rId19">
        <w:r>
          <w:rPr>
            <w:rFonts w:eastAsia="inter" w:cs="inter" w:ascii="inter" w:hAnsi="inter"/>
            <w:color w:val="#000"/>
            <w:sz w:val="18"/>
            <w:u w:val="single"/>
          </w:rPr>
          <w:t xml:space="preserve">https://www.longevityhealthinstituteinc.com/blog/5-strategies-on-how-to-restore-gut-health-after-a-period-of-neglectnbsp</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58" w:name="fn18"/>
    <w:bookmarkEnd w:id="58"/>
    <w:p>
      <w:pPr>
        <w:numPr>
          <w:ilvl w:val="0"/>
          <w:numId w:val="6"/>
        </w:numPr>
        <w:spacing w:line="360" w:after="210" w:lineRule="auto"/>
      </w:pPr>
      <w:hyperlink r:id="rId20">
        <w:r>
          <w:rPr>
            <w:rFonts w:eastAsia="inter" w:cs="inter" w:ascii="inter" w:hAnsi="inter"/>
            <w:color w:val="#000"/>
            <w:sz w:val="18"/>
            <w:u w:val="single"/>
          </w:rPr>
          <w:t xml:space="preserve">https://kenvuepro.com/en-gb/therapeutic-areas/digestive-health/resources/new-imodium-gut2know-app</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59" w:name="fn19"/>
    <w:bookmarkEnd w:id="59"/>
    <w:p>
      <w:pPr>
        <w:numPr>
          <w:ilvl w:val="0"/>
          <w:numId w:val="6"/>
        </w:numPr>
        <w:spacing w:line="360" w:after="210" w:lineRule="auto"/>
      </w:pPr>
      <w:hyperlink r:id="rId21">
        <w:r>
          <w:rPr>
            <w:rFonts w:eastAsia="inter" w:cs="inter" w:ascii="inter" w:hAnsi="inter"/>
            <w:color w:val="#000"/>
            <w:sz w:val="18"/>
            <w:u w:val="single"/>
          </w:rPr>
          <w:t xml:space="preserve">https://zoe.com/buymembership</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60" w:name="fn20"/>
    <w:bookmarkEnd w:id="60"/>
    <w:p>
      <w:pPr>
        <w:numPr>
          <w:ilvl w:val="0"/>
          <w:numId w:val="6"/>
        </w:numPr>
        <w:spacing w:line="360" w:after="210" w:lineRule="auto"/>
      </w:pPr>
      <w:hyperlink r:id="rId22">
        <w:r>
          <w:rPr>
            <w:rFonts w:eastAsia="inter" w:cs="inter" w:ascii="inter" w:hAnsi="inter"/>
            <w:color w:val="#000"/>
            <w:sz w:val="18"/>
            <w:u w:val="single"/>
          </w:rPr>
          <w:t xml:space="preserve">https://play.google.com/store/apps/details?id=com.elsavie.gutsecret&amp;hl=en</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61" w:name="fn21"/>
    <w:bookmarkEnd w:id="61"/>
    <w:p>
      <w:pPr>
        <w:numPr>
          <w:ilvl w:val="0"/>
          <w:numId w:val="6"/>
        </w:numPr>
        <w:spacing w:line="360" w:after="210" w:lineRule="auto"/>
      </w:pPr>
      <w:hyperlink r:id="rId23">
        <w:r>
          <w:rPr>
            <w:rFonts w:eastAsia="inter" w:cs="inter" w:ascii="inter" w:hAnsi="inter"/>
            <w:color w:val="#000"/>
            <w:sz w:val="18"/>
            <w:u w:val="single"/>
          </w:rPr>
          <w:t xml:space="preserve">https://www.frontiersin.org/journals/sustainable-food-systems/articles/10.3389/fsufs.2025.1465622/full</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62" w:name="fn22"/>
    <w:bookmarkEnd w:id="62"/>
    <w:p>
      <w:pPr>
        <w:numPr>
          <w:ilvl w:val="0"/>
          <w:numId w:val="6"/>
        </w:numPr>
        <w:spacing w:line="360" w:after="210" w:lineRule="auto"/>
      </w:pPr>
      <w:hyperlink r:id="rId24">
        <w:r>
          <w:rPr>
            <w:rFonts w:eastAsia="inter" w:cs="inter" w:ascii="inter" w:hAnsi="inter"/>
            <w:color w:val="#000"/>
            <w:sz w:val="18"/>
            <w:u w:val="single"/>
          </w:rPr>
          <w:t xml:space="preserve">https://www.aspireptandwellness.com/blog/how-your-gut-health-impacts-injury-recovery</w:t>
        </w:r>
      </w:hyperlink>
      <w:r>
        <w:rPr>
          <w:rFonts w:eastAsia="inter" w:cs="inter" w:ascii="inter" w:hAnsi="inter"/>
          <w:color w:val="000000"/>
          <w:sz w:val="18"/>
        </w:rPr>
        <w:t xml:space="preserve"> </w:t>
      </w:r>
    </w:p>
    <w:bookmarkStart w:id="63" w:name="fn23"/>
    <w:bookmarkEnd w:id="63"/>
    <w:p>
      <w:pPr>
        <w:numPr>
          <w:ilvl w:val="0"/>
          <w:numId w:val="6"/>
        </w:numPr>
        <w:spacing w:line="360" w:after="210" w:lineRule="auto"/>
      </w:pPr>
      <w:hyperlink r:id="rId25">
        <w:r>
          <w:rPr>
            <w:rFonts w:eastAsia="inter" w:cs="inter" w:ascii="inter" w:hAnsi="inter"/>
            <w:color w:val="#000"/>
            <w:sz w:val="18"/>
            <w:u w:val="single"/>
          </w:rPr>
          <w:t xml:space="preserve">https://healthzonemd.com/a-comprehensive-guide-to-sustainable-weight-loss-science-backed-strategies-for-success/</w:t>
        </w:r>
      </w:hyperlink>
      <w:r>
        <w:rPr>
          <w:rFonts w:eastAsia="inter" w:cs="inter" w:ascii="inter" w:hAnsi="inter"/>
          <w:color w:val="000000"/>
          <w:sz w:val="18"/>
        </w:rPr>
        <w:t xml:space="preserve"> </w:t>
      </w:r>
    </w:p>
    <w:bookmarkStart w:id="64" w:name="fn24"/>
    <w:bookmarkEnd w:id="64"/>
    <w:p>
      <w:pPr>
        <w:numPr>
          <w:ilvl w:val="0"/>
          <w:numId w:val="6"/>
        </w:numPr>
        <w:spacing w:line="360" w:after="210" w:lineRule="auto"/>
      </w:pPr>
      <w:r>
        <w:rPr>
          <w:rFonts w:eastAsia="inter" w:cs="inter" w:ascii="inter" w:hAnsi="inter"/>
          <w:color w:val="000000"/>
          <w:sz w:val="18"/>
        </w:rPr>
        <w:t xml:space="preserve">The-Gut-Brain-Connection_-How-Stress-Mood-and-the-Nervous-System-Influence-Gut-Health.pdf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decimal"/>
      <w:lvlText w:val="%1."/>
      <w:lvlJc w:val="left"/>
      <w:pPr>
        <w:tabs>
          <w:tab w:val="num" w:pos="900"/>
        </w:tabs>
        <w:ind w:left="540" w:hanging="360"/>
      </w:pPr>
    </w:lvl>
  </w:abstractNum>
  <w:abstractNum w:abstractNumId="5">
    <w:multiLevelType w:val="hybridMultilevel"/>
  </w:abstractNum>
  <w:abstractNum w:abstractNumId="6">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2eb141b7b4dd90bcd928dd11b27efc4605f93cf0.png" TargetMode="Internal"/><Relationship Id="rId6" Type="http://schemas.openxmlformats.org/officeDocument/2006/relationships/hyperlink" Target="https://pmc.ncbi.nlm.nih.gov/articles/PMC10773664/" TargetMode="External"/><Relationship Id="rId7" Type="http://schemas.openxmlformats.org/officeDocument/2006/relationships/hyperlink" Target="https://windsordigestivehealth.com/a-basic-guide-to-restore-gut-health/" TargetMode="External"/><Relationship Id="rId8" Type="http://schemas.openxmlformats.org/officeDocument/2006/relationships/hyperlink" Target="https://eliterapidcare.com/gut-health-weight-loss/" TargetMode="External"/><Relationship Id="rId9" Type="http://schemas.openxmlformats.org/officeDocument/2006/relationships/hyperlink" Target="https://amwayapps.amway2u.com/hybris/landing-page/GutReset/PDF/GutResetUserManual.pdf" TargetMode="External"/><Relationship Id="rId10" Type="http://schemas.openxmlformats.org/officeDocument/2006/relationships/hyperlink" Target="https://www.usenourish.com/blog/aip-reintroduction" TargetMode="External"/><Relationship Id="rId11" Type="http://schemas.openxmlformats.org/officeDocument/2006/relationships/hyperlink" Target="https://nutritionresolution.com/fodmap-reintroduction-phase-chart-complete-guide-with-food-list-pdf/" TargetMode="External"/><Relationship Id="rId12" Type="http://schemas.openxmlformats.org/officeDocument/2006/relationships/hyperlink" Target="https://www.evergreendoctors.com/blog/how-to-tell-that-your-gut-is-healing" TargetMode="External"/><Relationship Id="rId13" Type="http://schemas.openxmlformats.org/officeDocument/2006/relationships/hyperlink" Target="https://pmc.ncbi.nlm.nih.gov/articles/PMC6682904/" TargetMode="External"/><Relationship Id="rId14" Type="http://schemas.openxmlformats.org/officeDocument/2006/relationships/hyperlink" Target="https://www.frontiersin.org/articles/10.3389/fmicb.2014.00494/pdf" TargetMode="External"/><Relationship Id="rId15" Type="http://schemas.openxmlformats.org/officeDocument/2006/relationships/hyperlink" Target="https://www.biotechnologia-journal.org/Second-brain-reviewing-the-gut-microbiome-s-role-in-lifestyle-diseases,195495,0,2.html" TargetMode="External"/><Relationship Id="rId16" Type="http://schemas.openxmlformats.org/officeDocument/2006/relationships/hyperlink" Target="https://www.betterhealth.vic.gov.au/health/healthyliving/gut-health" TargetMode="External"/><Relationship Id="rId17" Type="http://schemas.openxmlformats.org/officeDocument/2006/relationships/hyperlink" Target="https://zoe.com/learn/how-to-improve-gut-health" TargetMode="External"/><Relationship Id="rId18" Type="http://schemas.openxmlformats.org/officeDocument/2006/relationships/hyperlink" Target="https://onlinelibrary.wiley.com/doi/10.1002/mco2.420" TargetMode="External"/><Relationship Id="rId19" Type="http://schemas.openxmlformats.org/officeDocument/2006/relationships/hyperlink" Target="https://www.longevityhealthinstituteinc.com/blog/5-strategies-on-how-to-restore-gut-health-after-a-period-of-neglectnbsp" TargetMode="External"/><Relationship Id="rId20" Type="http://schemas.openxmlformats.org/officeDocument/2006/relationships/hyperlink" Target="https://kenvuepro.com/en-gb/therapeutic-areas/digestive-health/resources/new-imodium-gut2know-app" TargetMode="External"/><Relationship Id="rId21" Type="http://schemas.openxmlformats.org/officeDocument/2006/relationships/hyperlink" Target="https://zoe.com/buymembership" TargetMode="External"/><Relationship Id="rId22" Type="http://schemas.openxmlformats.org/officeDocument/2006/relationships/hyperlink" Target="https://play.google.com/store/apps/details?id=com.elsavie.gutsecret&amp;hl=en" TargetMode="External"/><Relationship Id="rId23" Type="http://schemas.openxmlformats.org/officeDocument/2006/relationships/hyperlink" Target="https://www.frontiersin.org/journals/sustainable-food-systems/articles/10.3389/fsufs.2025.1465622/full" TargetMode="External"/><Relationship Id="rId24" Type="http://schemas.openxmlformats.org/officeDocument/2006/relationships/hyperlink" Target="https://www.aspireptandwellness.com/blog/how-your-gut-health-impacts-injury-recovery" TargetMode="External"/><Relationship Id="rId25" Type="http://schemas.openxmlformats.org/officeDocument/2006/relationships/hyperlink" Target="https://healthzonemd.com/a-comprehensive-guide-to-sustainable-weight-loss-science-backed-strategies-for-success/"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2025-09-17T22:58:30.508Z</dcterms:created>
  <dcterms:modified xsi:type="dcterms:W3CDTF">2025-09-17T22:58:30.508Z</dcterms:modified>
</cp:coreProperties>
</file>