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7" w:name="content"/>
    <w:bookmarkStart w:id="36" w:name="Xbc7d8bccb0fc25fd566ef6df386a16c856d5289"/>
    <w:p>
      <w:pPr>
        <w:pStyle w:val="Heading2"/>
      </w:pPr>
      <w:r>
        <w:t xml:space="preserve">Product Requirements Document (PRD) – Bloating Myth‑Busting Email Course</w:t>
      </w:r>
    </w:p>
    <w:bookmarkStart w:id="23" w:name="overview"/>
    <w:p>
      <w:pPr>
        <w:pStyle w:val="Heading3"/>
      </w:pPr>
      <w:r>
        <w:t xml:space="preserve">1.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Component:</w:t>
      </w:r>
      <w:r>
        <w:t xml:space="preserve"> </w:t>
      </w:r>
      <w:r>
        <w:t xml:space="preserve">Bloating Myth‑Busting Email Course (part of the Education &amp; Nurture journey in FitNature’s Bloating Breakthrough Blueprint</w:t>
      </w:r>
      <w:hyperlink r:id="rId21">
        <w:r>
          <w:rPr>
            <w:rStyle w:val="Hyperlink"/>
          </w:rPr>
          <w:t xml:space="preserve">[1]</w:t>
        </w:r>
      </w:hyperlink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Educate subscribers about common bloating myths, build trust through evidence‑based content, and gently introduce relevant affiliate products and consultation services.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Audience:</w:t>
      </w:r>
      <w:r>
        <w:t xml:space="preserve"> </w:t>
      </w:r>
      <w:r>
        <w:t xml:space="preserve">Skeptical health seekers and individuals suffering from bloating who value science‑backed advice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Open rate, click‑through rate for educational content, click‑through rate for affiliate links, consultation bookings, and course completion rates.</w:t>
      </w:r>
    </w:p>
    <w:bookmarkEnd w:id="23"/>
    <w:bookmarkStart w:id="27" w:name="content-structure"/>
    <w:p>
      <w:pPr>
        <w:pStyle w:val="Heading3"/>
      </w:pPr>
      <w:r>
        <w:t xml:space="preserve">2. Content &amp;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Myth Focus</w:t>
            </w:r>
          </w:p>
        </w:tc>
        <w:tc>
          <w:tcPr/>
          <w:p>
            <w:pPr>
              <w:pStyle w:val="Compact"/>
            </w:pPr>
            <w:r>
              <w:t xml:space="preserve">Key Insights</w:t>
            </w:r>
          </w:p>
        </w:tc>
        <w:tc>
          <w:tcPr/>
          <w:p>
            <w:pPr>
              <w:pStyle w:val="Compact"/>
            </w:pPr>
            <w:r>
              <w:t xml:space="preserve">Soft CTA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Probiotics as magic fix</w:t>
            </w:r>
          </w:p>
        </w:tc>
        <w:tc>
          <w:tcPr/>
          <w:p>
            <w:pPr>
              <w:pStyle w:val="Compact"/>
            </w:pPr>
            <w:r>
              <w:t xml:space="preserve">Probiotics have variable effects; they may help or worsen symptoms</w:t>
            </w:r>
            <w:hyperlink r:id="rId24">
              <w:r>
                <w:rPr>
                  <w:rStyle w:val="Hyperlink"/>
                </w:rPr>
                <w:t xml:space="preserve">[3]</w:t>
              </w:r>
            </w:hyperlink>
            <w:r>
              <w:t xml:space="preserve">. Emphasize individualized approach and fundamental habits.</w:t>
            </w:r>
          </w:p>
        </w:tc>
        <w:tc>
          <w:tcPr/>
          <w:p>
            <w:pPr>
              <w:pStyle w:val="Compact"/>
            </w:pPr>
            <w:r>
              <w:t xml:space="preserve">Explore targeted enzymes/probiotics.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Eliminating food groups</w:t>
            </w:r>
          </w:p>
        </w:tc>
        <w:tc>
          <w:tcPr/>
          <w:p>
            <w:pPr>
              <w:pStyle w:val="Compact"/>
            </w:pPr>
            <w:r>
              <w:t xml:space="preserve">Total restriction isn’t necessary; diverse plant foods support a healthy microbiome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Use a food/symptom diary.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Detoxes &amp; cleanses</w:t>
            </w:r>
          </w:p>
        </w:tc>
        <w:tc>
          <w:tcPr/>
          <w:p>
            <w:pPr>
              <w:pStyle w:val="Compact"/>
            </w:pPr>
            <w:r>
              <w:t xml:space="preserve">Cleanses aren’t supported by evidence; sustainable habits support natural detoxification</w:t>
            </w:r>
            <w:hyperlink r:id="rId25">
              <w:r>
                <w:rPr>
                  <w:rStyle w:val="Hyperlink"/>
                </w:rPr>
                <w:t xml:space="preserve">[4]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Adopt holistic lifestyle changes.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All bloating is bad</w:t>
            </w:r>
          </w:p>
        </w:tc>
        <w:tc>
          <w:tcPr/>
          <w:p>
            <w:pPr>
              <w:pStyle w:val="Compact"/>
            </w:pPr>
            <w:r>
              <w:t xml:space="preserve">Occasional bloating (under 4/10) is normal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; persistent bloating signals the need for evaluation.</w:t>
            </w:r>
          </w:p>
        </w:tc>
        <w:tc>
          <w:tcPr/>
          <w:p>
            <w:pPr>
              <w:pStyle w:val="Compact"/>
            </w:pPr>
            <w:r>
              <w:t xml:space="preserve">Track severity and consult if needed.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Quick fixes like ACV</w:t>
            </w:r>
          </w:p>
        </w:tc>
        <w:tc>
          <w:tcPr/>
          <w:p>
            <w:pPr>
              <w:pStyle w:val="Compact"/>
            </w:pPr>
            <w:r>
              <w:t xml:space="preserve">Apple cider vinegar doesn’t relieve bloating and may cause harm</w:t>
            </w:r>
            <w:hyperlink r:id="rId26">
              <w:r>
                <w:rPr>
                  <w:rStyle w:val="Hyperlink"/>
                </w:rPr>
                <w:t xml:space="preserve">[5]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Focus on evidence‑based strategies.</w:t>
            </w:r>
          </w:p>
        </w:tc>
      </w:tr>
    </w:tbl>
    <w:bookmarkEnd w:id="27"/>
    <w:bookmarkStart w:id="29" w:name="functional-requirements"/>
    <w:p>
      <w:pPr>
        <w:pStyle w:val="Heading3"/>
      </w:pPr>
      <w:r>
        <w:t xml:space="preserve">3. Functional Requirements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Email delivery:</w:t>
      </w:r>
      <w:r>
        <w:t xml:space="preserve"> </w:t>
      </w:r>
      <w:r>
        <w:t xml:space="preserve">5 sequenced emails, one per day after signup, delivered via WordPress email automation. Each email must include subject line, header, body, soft CTA, and footer with disclosure.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Personalization:</w:t>
      </w:r>
      <w:r>
        <w:t xml:space="preserve"> </w:t>
      </w:r>
      <w:r>
        <w:t xml:space="preserve">Use subscriber’s first name and track course progress in the database to ensure the correct email is sent.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storage:</w:t>
      </w:r>
      <w:r>
        <w:t xml:space="preserve"> </w:t>
      </w:r>
      <w:r>
        <w:t xml:space="preserve">Store subscriber records in a MySQL table with fields for user ID, email, course ID, day number, scheduled send date, and sent status. This enables multiple nurture courses on the same system.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Affiliate integration:</w:t>
      </w:r>
      <w:r>
        <w:t xml:space="preserve"> </w:t>
      </w:r>
      <w:r>
        <w:t xml:space="preserve">Include placeholders for affiliate products and consultation offers. The system should allow easy substitution of product URLs via a configuration file without editing the email content.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GA tracking:</w:t>
      </w:r>
      <w:r>
        <w:t xml:space="preserve"> </w:t>
      </w:r>
      <w:r>
        <w:t xml:space="preserve">All CTA buttons and affiliate links must include</w:t>
      </w:r>
      <w:r>
        <w:t xml:space="preserve"> </w:t>
      </w:r>
      <w:r>
        <w:rPr>
          <w:rStyle w:val="VerbatimChar"/>
        </w:rPr>
        <w:t xml:space="preserve">data-ga4-event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data-ga4-param-*</w:t>
      </w:r>
      <w:r>
        <w:t xml:space="preserve"> </w:t>
      </w:r>
      <w:r>
        <w:t xml:space="preserve">attributes (see GA instructions) to capture interactions.</w:t>
      </w:r>
      <w:hyperlink r:id="rId28">
        <w:r>
          <w:rPr>
            <w:rStyle w:val="Hyperlink"/>
          </w:rPr>
          <w:t xml:space="preserve">[6]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Opt‑out compliance:</w:t>
      </w:r>
      <w:r>
        <w:t xml:space="preserve"> </w:t>
      </w:r>
      <w:r>
        <w:t xml:space="preserve">Provide unsubscribe link in every email and ensure compliance with email marketing regulations.</w:t>
      </w:r>
    </w:p>
    <w:bookmarkEnd w:id="29"/>
    <w:bookmarkStart w:id="31" w:name="nonfunctional-requirements"/>
    <w:p>
      <w:pPr>
        <w:pStyle w:val="Heading3"/>
      </w:pPr>
      <w:r>
        <w:t xml:space="preserve">4. Non‑Functional Requirements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The course template should support additional myth‑busting sequences or other nurture courses. Data tables should include course identifiers.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Deliverability:</w:t>
      </w:r>
      <w:r>
        <w:t xml:space="preserve"> </w:t>
      </w:r>
      <w:r>
        <w:t xml:space="preserve">Use a reliable SMTP service (e.g., via WP Mail SMTP) to ensure authenticated email delivery</w:t>
      </w:r>
      <w:hyperlink r:id="rId30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Maintainability:</w:t>
      </w:r>
      <w:r>
        <w:t xml:space="preserve"> </w:t>
      </w:r>
      <w:r>
        <w:t xml:space="preserve">Use templating functions in WordPress/PHP to generate emails. Affiliate links and text should be editable through a settings page or configuration file.</w:t>
      </w:r>
    </w:p>
    <w:bookmarkEnd w:id="31"/>
    <w:bookmarkStart w:id="32" w:name="user-experience"/>
    <w:p>
      <w:pPr>
        <w:pStyle w:val="Heading3"/>
      </w:pPr>
      <w:r>
        <w:t xml:space="preserve">5. User Experience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Tone:</w:t>
      </w:r>
      <w:r>
        <w:t xml:space="preserve"> </w:t>
      </w:r>
      <w:r>
        <w:t xml:space="preserve">Trust‑first, science‑based, friendly and approachable.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Design:</w:t>
      </w:r>
      <w:r>
        <w:t xml:space="preserve"> </w:t>
      </w:r>
      <w:r>
        <w:t xml:space="preserve">Simple, mobile‑friendly email layout with clear headings, short paragraphs, and a visible call‑to‑action button. Include a brief disclaimer about affiliate links.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Accessibility:</w:t>
      </w:r>
      <w:r>
        <w:t xml:space="preserve"> </w:t>
      </w:r>
      <w:r>
        <w:t xml:space="preserve">Use descriptive link text instead of “click here.” Ensure sufficient color contrast and alt text for images.</w:t>
      </w:r>
    </w:p>
    <w:bookmarkEnd w:id="32"/>
    <w:bookmarkStart w:id="33" w:name="analytics-reporting"/>
    <w:p>
      <w:pPr>
        <w:pStyle w:val="Heading3"/>
      </w:pPr>
      <w:r>
        <w:t xml:space="preserve">6. Analytics &amp; Reporting</w:t>
      </w:r>
    </w:p>
    <w:p>
      <w:pPr>
        <w:pStyle w:val="Compact"/>
        <w:numPr>
          <w:ilvl w:val="0"/>
          <w:numId w:val="1005"/>
        </w:numPr>
      </w:pPr>
      <w:r>
        <w:t xml:space="preserve">Track open rates (via email provider), click events on CTA buttons and affiliate links (via GA4 events using data attributes</w:t>
      </w:r>
      <w:hyperlink r:id="rId28">
        <w:r>
          <w:rPr>
            <w:rStyle w:val="Hyperlink"/>
          </w:rPr>
          <w:t xml:space="preserve">[6]</w:t>
        </w:r>
      </w:hyperlink>
      <w:r>
        <w:t xml:space="preserve">), and course completion.</w:t>
      </w:r>
    </w:p>
    <w:p>
      <w:pPr>
        <w:pStyle w:val="Compact"/>
        <w:numPr>
          <w:ilvl w:val="0"/>
          <w:numId w:val="1005"/>
        </w:numPr>
      </w:pPr>
      <w:r>
        <w:t xml:space="preserve">Log consultation bookings and product purchases where possible to evaluate revenue per subscriber.</w:t>
      </w:r>
    </w:p>
    <w:bookmarkEnd w:id="33"/>
    <w:bookmarkStart w:id="34" w:name="dependencies-assumptions"/>
    <w:p>
      <w:pPr>
        <w:pStyle w:val="Heading3"/>
      </w:pPr>
      <w:r>
        <w:t xml:space="preserve">7. Dependencies &amp; Assumptions</w:t>
      </w:r>
    </w:p>
    <w:p>
      <w:pPr>
        <w:pStyle w:val="Compact"/>
        <w:numPr>
          <w:ilvl w:val="0"/>
          <w:numId w:val="1006"/>
        </w:numPr>
      </w:pPr>
      <w:r>
        <w:t xml:space="preserve">GA4 is already installed on the website. The team will implement data‑attribute tracking as outlined in the GA integration guide.</w:t>
      </w:r>
    </w:p>
    <w:p>
      <w:pPr>
        <w:pStyle w:val="Compact"/>
        <w:numPr>
          <w:ilvl w:val="0"/>
          <w:numId w:val="1006"/>
        </w:numPr>
      </w:pPr>
      <w:r>
        <w:t xml:space="preserve">WordPress with phpMyAdmin is used for database management. The system must have cron capabilities to schedule email sends (see automation guide).</w:t>
      </w:r>
    </w:p>
    <w:p>
      <w:pPr>
        <w:pStyle w:val="Compact"/>
        <w:numPr>
          <w:ilvl w:val="0"/>
          <w:numId w:val="1006"/>
        </w:numPr>
      </w:pPr>
      <w:r>
        <w:t xml:space="preserve">Affiliate products and consultation offer pages exist and can be linked via placeholders.</w:t>
      </w:r>
    </w:p>
    <w:bookmarkEnd w:id="34"/>
    <w:bookmarkStart w:id="35" w:name="future-enhancements"/>
    <w:p>
      <w:pPr>
        <w:pStyle w:val="Heading3"/>
      </w:pPr>
      <w:r>
        <w:t xml:space="preserve">8. Future Enhancements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A/B testing:</w:t>
      </w:r>
      <w:r>
        <w:t xml:space="preserve"> </w:t>
      </w:r>
      <w:r>
        <w:t xml:space="preserve">Experiment with different subject lines, myth order, and CTA placements to optimize engagement.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Segmentation:</w:t>
      </w:r>
      <w:r>
        <w:t xml:space="preserve"> </w:t>
      </w:r>
      <w:r>
        <w:t xml:space="preserve">Use quiz results or purchase history to personalize myth emphasis and product recommendations.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Multilingual:</w:t>
      </w:r>
      <w:r>
        <w:t xml:space="preserve"> </w:t>
      </w:r>
      <w:r>
        <w:t xml:space="preserve">Translate the course into additional languages based on subscriber demographics.</w:t>
      </w:r>
    </w:p>
    <w:p>
      <w:pPr>
        <w:pStyle w:val="FirstParagraph"/>
      </w:pPr>
      <w:r>
        <w:t xml:space="preserve">By adhering to this PRD, the team can create a reliable, high‑value email course that educates users, drives thoughtful product engagement, and lays the foundation for future nurture programs.</w:t>
      </w:r>
    </w:p>
    <w:bookmarkEnd w:id="35"/>
    <w:bookmarkEnd w:id="36"/>
    <w:bookmarkEnd w:id="37"/>
    <w:p>
      <w:r>
        <w:pict>
          <v:rect style="width:0;height:1.5pt" o:hralign="center" o:hrstd="t" o:hr="t"/>
        </w:pict>
      </w:r>
    </w:p>
    <w:bookmarkStart w:id="4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11 Myths About Gut Health: Debunking Common Misconceptions - Fodmap diet Australia Dietitian</w:t>
      </w:r>
    </w:p>
    <w:p>
      <w:pPr>
        <w:pStyle w:val="BodyText"/>
      </w:pPr>
      <w:hyperlink r:id="rId38">
        <w:r>
          <w:rPr>
            <w:rStyle w:val="Hyperlink"/>
          </w:rPr>
          <w:t xml:space="preserve">https://everydaynutrition.com.au/2024/01/02/11-myths-about-gut-health-debunking-common-misconceptions/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Tracking Google Analytics 4 Events using Data Attributes - David Vallejo</w:t>
      </w:r>
    </w:p>
    <w:p>
      <w:pPr>
        <w:pStyle w:val="BodyText"/>
      </w:pPr>
      <w:hyperlink r:id="rId39">
        <w:r>
          <w:rPr>
            <w:rStyle w:val="Hyperlink"/>
          </w:rPr>
          <w:t xml:space="preserve">https://www.thyngster.com/tracking-google-analytics-4-events-using-data-attributes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How to Send Automated Email in WordPress</w:t>
      </w:r>
    </w:p>
    <w:p>
      <w:pPr>
        <w:pStyle w:val="BodyText"/>
      </w:pPr>
      <w:hyperlink r:id="rId40">
        <w:r>
          <w:rPr>
            <w:rStyle w:val="Hyperlink"/>
          </w:rPr>
          <w:t xml:space="preserve">https://wpmailsmtp.com/how-to-send-automated-email-in-wordpress/</w:t>
        </w:r>
      </w:hyperlink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everydaynutrition.com.au/2024/01/02/11-myths-about-gut-health-debunking-common-misconceptions/" TargetMode="External" /><Relationship Type="http://schemas.openxmlformats.org/officeDocument/2006/relationships/hyperlink" Id="rId22" Target="https://everydaynutrition.com.au/2024/01/02/11-myths-about-gut-health-debunking-common-misconceptions/#:~:text=Eliminating%20entire%20food%20groups%20isn%E2%80%99t,Ditch%20the%20restrictive%20diets" TargetMode="External" /><Relationship Type="http://schemas.openxmlformats.org/officeDocument/2006/relationships/hyperlink" Id="rId25" Target="https://everydaynutrition.com.au/2024/01/02/11-myths-about-gut-health-debunking-common-misconceptions/#:~:text=Myth%205%3A%20Detoxes%20and%20Cleanses,Improve%20Gut%20Health" TargetMode="External" /><Relationship Type="http://schemas.openxmlformats.org/officeDocument/2006/relationships/hyperlink" Id="rId21" Target="https://everydaynutrition.com.au/2024/01/02/11-myths-about-gut-health-debunking-common-misconceptions/#:~:text=Myth%207%3A%20All%20Bloating%20Indicates,Poor%20Gut%20Health" TargetMode="External" /><Relationship Type="http://schemas.openxmlformats.org/officeDocument/2006/relationships/hyperlink" Id="rId24" Target="https://everydaynutrition.com.au/2024/01/02/11-myths-about-gut-health-debunking-common-misconceptions/#:~:text=Myth%208%3A%20Everyone%20Should%20Take,Probiotics" TargetMode="External" /><Relationship Type="http://schemas.openxmlformats.org/officeDocument/2006/relationships/hyperlink" Id="rId26" Target="https://everydaynutrition.com.au/2024/01/02/11-myths-about-gut-health-debunking-common-misconceptions/#:~:text=While%20apple%20cider%20vinegar%20has,healthy%20lifestyle%20for%20optimal%20digestion" TargetMode="External" /><Relationship Type="http://schemas.openxmlformats.org/officeDocument/2006/relationships/hyperlink" Id="rId40" Target="https://wpmailsmtp.com/how-to-send-automated-email-in-wordpress/" TargetMode="External" /><Relationship Type="http://schemas.openxmlformats.org/officeDocument/2006/relationships/hyperlink" Id="rId30" Target="https://wpmailsmtp.com/how-to-send-automated-email-in-wordpress/#:~:text=Configure%20Your%20Website%20for%20Email,Deliverability" TargetMode="External" /><Relationship Type="http://schemas.openxmlformats.org/officeDocument/2006/relationships/hyperlink" Id="rId39" Target="https://www.thyngster.com/tracking-google-analytics-4-events-using-data-attributes" TargetMode="External" /><Relationship Type="http://schemas.openxmlformats.org/officeDocument/2006/relationships/hyperlink" Id="rId28" Target="https://www.thyngster.com/tracking-google-analytics-4-events-using-data-attributes#:~:text=First%20we%27ll%20need%20a%20data,Selector%20to%20trigger%20our%20tag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verydaynutrition.com.au/2024/01/02/11-myths-about-gut-health-debunking-common-misconceptions/" TargetMode="External" /><Relationship Type="http://schemas.openxmlformats.org/officeDocument/2006/relationships/hyperlink" Id="rId22" Target="https://everydaynutrition.com.au/2024/01/02/11-myths-about-gut-health-debunking-common-misconceptions/#:~:text=Eliminating%20entire%20food%20groups%20isn%E2%80%99t,Ditch%20the%20restrictive%20diets" TargetMode="External" /><Relationship Type="http://schemas.openxmlformats.org/officeDocument/2006/relationships/hyperlink" Id="rId25" Target="https://everydaynutrition.com.au/2024/01/02/11-myths-about-gut-health-debunking-common-misconceptions/#:~:text=Myth%205%3A%20Detoxes%20and%20Cleanses,Improve%20Gut%20Health" TargetMode="External" /><Relationship Type="http://schemas.openxmlformats.org/officeDocument/2006/relationships/hyperlink" Id="rId21" Target="https://everydaynutrition.com.au/2024/01/02/11-myths-about-gut-health-debunking-common-misconceptions/#:~:text=Myth%207%3A%20All%20Bloating%20Indicates,Poor%20Gut%20Health" TargetMode="External" /><Relationship Type="http://schemas.openxmlformats.org/officeDocument/2006/relationships/hyperlink" Id="rId24" Target="https://everydaynutrition.com.au/2024/01/02/11-myths-about-gut-health-debunking-common-misconceptions/#:~:text=Myth%208%3A%20Everyone%20Should%20Take,Probiotics" TargetMode="External" /><Relationship Type="http://schemas.openxmlformats.org/officeDocument/2006/relationships/hyperlink" Id="rId26" Target="https://everydaynutrition.com.au/2024/01/02/11-myths-about-gut-health-debunking-common-misconceptions/#:~:text=While%20apple%20cider%20vinegar%20has,healthy%20lifestyle%20for%20optimal%20digestion" TargetMode="External" /><Relationship Type="http://schemas.openxmlformats.org/officeDocument/2006/relationships/hyperlink" Id="rId40" Target="https://wpmailsmtp.com/how-to-send-automated-email-in-wordpress/" TargetMode="External" /><Relationship Type="http://schemas.openxmlformats.org/officeDocument/2006/relationships/hyperlink" Id="rId30" Target="https://wpmailsmtp.com/how-to-send-automated-email-in-wordpress/#:~:text=Configure%20Your%20Website%20for%20Email,Deliverability" TargetMode="External" /><Relationship Type="http://schemas.openxmlformats.org/officeDocument/2006/relationships/hyperlink" Id="rId39" Target="https://www.thyngster.com/tracking-google-analytics-4-events-using-data-attributes" TargetMode="External" /><Relationship Type="http://schemas.openxmlformats.org/officeDocument/2006/relationships/hyperlink" Id="rId28" Target="https://www.thyngster.com/tracking-google-analytics-4-events-using-data-attributes#:~:text=First%20we%27ll%20need%20a%20data,Selector%20to%20trigger%20our%20ta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2025-08-21T05:17:14Z</dcterms:created>
  <dcterms:modified xsi:type="dcterms:W3CDTF">2025-08-21T05:17:14Z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