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12"/>
        <w:jc w:val="center"/>
      </w:pPr>
      <w:r>
        <w:rPr>
          <w:rFonts w:ascii="Times New Roman" w:cs="Times New Roman" w:eastAsia="Times New Roman" w:hAnsi="Times New Roman"/>
          <w:b/>
          <w:bCs/>
          <w:color w:val="1F3864"/>
          <w:sz w:val="26"/>
          <w:szCs w:val="26"/>
        </w:rPr>
        <w:t xml:space="preserve">BÀI TẬP CHƯƠNG 1</w:t>
      </w:r>
    </w:p>
    <w:p>
      <w:pPr>
        <w:spacing w:after="60" w:line="312"/>
        <w:jc w:val="center"/>
      </w:pPr>
      <w:r>
        <w:rPr>
          <w:rFonts w:ascii="Times New Roman" w:cs="Times New Roman" w:eastAsia="Times New Roman" w:hAnsi="Times New Roman"/>
          <w:color w:val="000000"/>
          <w:sz w:val="24"/>
          <w:szCs w:val="24"/>
        </w:rPr>
        <w:t xml:space="preserve">Môn học: Lý luận và Phương pháp dạy học Tin học</w:t>
      </w:r>
    </w:p>
    <w:p>
      <w:pPr>
        <w:spacing w:after="120" w:line="312"/>
        <w:jc w:val="center"/>
      </w:pPr>
      <w:r>
        <w:rPr>
          <w:rFonts w:ascii="Times New Roman" w:cs="Times New Roman" w:eastAsia="Times New Roman" w:hAnsi="Times New Roman"/>
          <w:color w:val="000000"/>
          <w:sz w:val="24"/>
          <w:szCs w:val="24"/>
        </w:rPr>
        <w:t xml:space="preserve">Sinh viên thực hiện: ..................................................      Lớp: ..............................</w:t>
      </w:r>
    </w:p>
    <w:p>
      <w:pPr>
        <w:pBdr>
          <w:bottom w:val="single" w:color="1F3864" w:sz="8" w:space="2"/>
        </w:pBdr>
        <w:spacing w:after="240"/>
      </w:pPr>
    </w:p>
    <w:p>
      <w:pPr>
        <w:pStyle w:val="Heading1"/>
        <w:keepNext/>
        <w:spacing w:after="200" w:before="60" w:line="312"/>
        <w:jc w:val="center"/>
      </w:pPr>
      <w:r>
        <w:rPr>
          <w:rFonts w:ascii="Times New Roman" w:cs="Times New Roman" w:eastAsia="Times New Roman" w:hAnsi="Times New Roman"/>
          <w:b/>
          <w:bCs/>
          <w:color w:val="000000"/>
          <w:sz w:val="32"/>
          <w:szCs w:val="32"/>
        </w:rPr>
        <w:t xml:space="preserve">BÀI TẬP 2. PHÂN LOẠI CHỦ ĐỀ – NỘI DUNG HỌC TẬP MÔN TIN HỌC LỚP 8 THEO BA TRỤ CỘT DL – ICT – CS (CHƯƠNG TRÌNH GDPT 2018)</w:t>
      </w:r>
    </w:p>
    <w:tbl>
      <w:tblPr>
        <w:tblW w:type="pct" w:w="100%"/>
        <w:tblBorders>
          <w:top w:val="none" w:color="FFFFFF" w:sz="0"/>
          <w:left w:val="single" w:color="1F3864" w:sz="24"/>
          <w:bottom w:val="none" w:color="FFFFFF" w:sz="0"/>
          <w:right w:val="none" w:color="FFFFFF" w:sz="0"/>
          <w:insideH w:val="none" w:color="FFFFFF" w:sz="0"/>
          <w:insideV w:val="none" w:color="FFFFFF" w:sz="0"/>
        </w:tblBorders>
      </w:tblPr>
      <w:tblGrid>
        <w:gridCol w:w="100"/>
      </w:tblGrid>
      <w:tr>
        <w:trPr>
          <w:cantSplit/>
        </w:trPr>
        <w:tc>
          <w:tcPr>
            <w:tcW w:type="pct" w:w="100%"/>
            <w:shd w:fill="F2F5F9" w:val="clear"/>
            <w:tcMar>
              <w:top w:type="dxa" w:w="140"/>
              <w:left w:type="dxa" w:w="220"/>
              <w:bottom w:type="dxa" w:w="140"/>
              <w:right w:type="dxa" w:w="220"/>
            </w:tcMar>
          </w:tcPr>
          <w:p>
            <w:pPr>
              <w:spacing w:line="312"/>
              <w:jc w:val="both"/>
            </w:pPr>
            <w:r>
              <w:rPr>
                <w:rFonts w:ascii="Times New Roman" w:cs="Times New Roman" w:eastAsia="Times New Roman" w:hAnsi="Times New Roman"/>
                <w:b/>
                <w:bCs/>
                <w:color w:val="1F3864"/>
                <w:sz w:val="26"/>
                <w:szCs w:val="26"/>
              </w:rPr>
              <w:t xml:space="preserve">Đề bài:  </w:t>
            </w:r>
            <w:r>
              <w:rPr>
                <w:rFonts w:ascii="Times New Roman" w:cs="Times New Roman" w:eastAsia="Times New Roman" w:hAnsi="Times New Roman"/>
                <w:i/>
                <w:iCs/>
                <w:color w:val="000000"/>
                <w:sz w:val="26"/>
                <w:szCs w:val="26"/>
              </w:rPr>
              <w:t xml:space="preserve">Tìm hiểu chương trình môn Tin học phổ thông hiện hành (Chương trình GDPT 2018). Lập bảng phân loại các chủ đề/nội dung học tập theo ba trụ cột DL, ICT, CS ở một lớp học cụ thể (tự chọn). Nhận xét về tỉ trọng của ba trụ cột ở lớp đó.</w:t>
            </w:r>
          </w:p>
        </w:tc>
      </w:tr>
    </w:tbl>
    <w:p>
      <w:pPr>
        <w:spacing w:after="120"/>
      </w:pPr>
    </w:p>
    <w:p>
      <w:pPr>
        <w:pStyle w:val="Heading2"/>
        <w:keepNext/>
        <w:spacing w:after="120" w:before="240" w:line="312"/>
        <w:jc w:val="left"/>
      </w:pPr>
      <w:r>
        <w:rPr>
          <w:rFonts w:ascii="Times New Roman" w:cs="Times New Roman" w:eastAsia="Times New Roman" w:hAnsi="Times New Roman"/>
          <w:b/>
          <w:bCs/>
          <w:color w:val="000000"/>
          <w:sz w:val="28"/>
          <w:szCs w:val="28"/>
        </w:rPr>
        <w:t xml:space="preserve">1. Lựa chọn lớp học và căn cứ thực hiện</w:t>
      </w:r>
    </w:p>
    <w:p>
      <w:pPr>
        <w:keepNext w:val="false"/>
        <w:keepLines w:val="false"/>
        <w:spacing w:after="12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Tôi chọn lớp 8 (cấp Trung học cơ sở) để thực hiện bài tập. Có ba lý do cho sự lựa chọn này. Thứ nhất, lớp 8 nằm ở giai đoạn 3 của logic phát triển nội dung (lớp 8 – 9) với trọng tâm “vận dụng, giải quyết vấn đề” và đặc trưng “tư duy thuật toán; lập trình thực sự”, nên ba trụ cột kiến thức đều xuất hiện rõ nét, thuận lợi cho việc phân loại. Thứ hai, theo giáo trình, ở lớp 8 mạch CS gắn với chủ đề lập trình có cấu trúc bằng ngôn ngữ Python, mạch ICT gắn với bảng tính điện tử và khai thác Internet phục vụ học tập — đây là những chủ đề điển hình, dễ quan sát tỉ trọng. Thứ ba, căn cứ vào chương trình GDPT 2018, môn Tin học THCS có 70 tiết/năm (khoảng 2 tiết/tuần), trong đó chương trình khuyến nghị tỉ lệ thực hành tối thiểu 50%, nhiều chủ đề thuộc mạch CS có thể đạt 60 – 70% thực hành — những con số cụ thể này giúp việc nhận xét tỉ trọng có cơ sở định lượng. Các dữ liệu về chủ đề và kế hoạch dạy học dưới đây được lấy từ giáo trình và Chương trình môn Tin học ban hành kèm Thông tư 32/2018/TT-BGDĐT.</w:t>
      </w:r>
    </w:p>
    <w:p>
      <w:pPr>
        <w:pStyle w:val="Heading2"/>
        <w:keepNext/>
        <w:spacing w:after="120" w:before="240" w:line="312"/>
        <w:jc w:val="left"/>
      </w:pPr>
      <w:r>
        <w:rPr>
          <w:rFonts w:ascii="Times New Roman" w:cs="Times New Roman" w:eastAsia="Times New Roman" w:hAnsi="Times New Roman"/>
          <w:b/>
          <w:bCs/>
          <w:color w:val="000000"/>
          <w:sz w:val="28"/>
          <w:szCs w:val="28"/>
        </w:rPr>
        <w:t xml:space="preserve">2. Cơ sở phân loại: ba trụ cột kiến thức</w:t>
      </w:r>
    </w:p>
    <w:p>
      <w:pPr>
        <w:keepNext/>
        <w:keepLines w:val="false"/>
        <w:spacing w:after="12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Chương trình GDPT 2018 tổ chức nội dung môn Tin học theo ba mạch kiến thức xuyên suốt từ lớp 3 đến lớp 12. Mạch Học vấn số hóa phổ thông (DL) hình thành những hiểu biết và kỹ năng nền tảng để sống, học tập, làm việc an toàn, hiệu quả trong môi trường số, bao gồm các vấn đề đạo đức, pháp luật, văn hóa số và bảo vệ thông tin cá nhân. Mạch Công nghệ thông tin và truyền thông (ICT) tập trung sử dụng công nghệ số như công cụ hỗ trợ học tập, lao động và sáng tạo: sử dụng phần mềm ứng dụng, công cụ xử lý thông tin, tạo lập và trao đổi sản phẩm số. Mạch Khoa học máy tính (CS) phản ánh bản chất khoa học của môn học, phát triển tư duy máy tính thông qua tư duy thuật toán, lập trình, mô hình hóa và tự động hóa. Căn cứ vào bản chất của từng mạch, tôi tiến hành phân loại các chủ đề và nội dung học tập của Tin học lớp 8 như bảng dưới đây.</w:t>
      </w:r>
    </w:p>
    <w:p>
      <w:pPr>
        <w:keepNext/>
        <w:spacing w:after="100" w:before="160" w:line="312"/>
        <w:jc w:val="center"/>
      </w:pPr>
      <w:r>
        <w:rPr>
          <w:rFonts w:ascii="Times New Roman" w:cs="Times New Roman" w:eastAsia="Times New Roman" w:hAnsi="Times New Roman"/>
          <w:b/>
          <w:bCs/>
          <w:i w:val="false"/>
          <w:iCs w:val="false"/>
          <w:color w:val="1F3864"/>
          <w:sz w:val="24"/>
          <w:szCs w:val="24"/>
        </w:rPr>
        <w:t xml:space="preserve">Bảng 1. Phân loại chủ đề – nội dung học tập Tin học lớp 8 theo ba trụ cột</w:t>
      </w:r>
    </w:p>
    <w:tbl>
      <w:tblPr>
        <w:tblW w:type="pct" w:w="100%"/>
        <w:tblBorders>
          <w:top w:val="single" w:color="1F3864" w:sz="8"/>
          <w:left w:val="none" w:color="FFFFFF" w:sz="0"/>
          <w:bottom w:val="single" w:color="1F3864" w:sz="8"/>
          <w:right w:val="none" w:color="FFFFFF" w:sz="0"/>
          <w:insideH w:val="single" w:color="C9D3DE" w:sz="4"/>
          <w:insideV w:val="single" w:color="C9D3DE" w:sz="4"/>
        </w:tblBorders>
      </w:tblPr>
      <w:tblGrid>
        <w:gridCol w:w="100"/>
        <w:gridCol w:w="100"/>
        <w:gridCol w:w="100"/>
      </w:tblGrid>
      <w:tr>
        <w:trPr>
          <w:cantSplit/>
          <w:tblHeader/>
        </w:trPr>
        <w:tc>
          <w:tcPr>
            <w:tcW w:type="pct" w:w="20%"/>
            <w:shd w:fill="E9EFF6" w:val="clear"/>
            <w:tcMar>
              <w:top w:type="dxa" w:w="80"/>
              <w:left w:type="dxa" w:w="120"/>
              <w:bottom w:type="dxa" w:w="80"/>
              <w:right w:type="dxa" w:w="120"/>
            </w:tcMar>
            <w:vAlign w:val="center"/>
          </w:tcPr>
          <w:p>
            <w:pPr>
              <w:spacing w:line="312"/>
              <w:jc w:val="center"/>
            </w:pPr>
            <w:r>
              <w:rPr>
                <w:rFonts w:ascii="Times New Roman" w:cs="Times New Roman" w:eastAsia="Times New Roman" w:hAnsi="Times New Roman"/>
                <w:b/>
                <w:bCs/>
                <w:i w:val="false"/>
                <w:iCs w:val="false"/>
                <w:color w:val="000000"/>
                <w:sz w:val="24"/>
                <w:szCs w:val="24"/>
              </w:rPr>
              <w:t xml:space="preserve">Trụ cột</w:t>
            </w:r>
          </w:p>
        </w:tc>
        <w:tc>
          <w:tcPr>
            <w:tcW w:type="pct" w:w="54%"/>
            <w:shd w:fill="E9EFF6" w:val="clear"/>
            <w:tcMar>
              <w:top w:type="dxa" w:w="80"/>
              <w:left w:type="dxa" w:w="120"/>
              <w:bottom w:type="dxa" w:w="80"/>
              <w:right w:type="dxa" w:w="120"/>
            </w:tcMar>
            <w:vAlign w:val="center"/>
          </w:tcPr>
          <w:p>
            <w:pPr>
              <w:spacing w:line="312"/>
              <w:jc w:val="center"/>
            </w:pPr>
            <w:r>
              <w:rPr>
                <w:rFonts w:ascii="Times New Roman" w:cs="Times New Roman" w:eastAsia="Times New Roman" w:hAnsi="Times New Roman"/>
                <w:b/>
                <w:bCs/>
                <w:i w:val="false"/>
                <w:iCs w:val="false"/>
                <w:color w:val="000000"/>
                <w:sz w:val="24"/>
                <w:szCs w:val="24"/>
              </w:rPr>
              <w:t xml:space="preserve">Chủ đề / nội dung học tập ở lớp 8</w:t>
            </w:r>
          </w:p>
        </w:tc>
        <w:tc>
          <w:tcPr>
            <w:tcW w:type="pct" w:w="26%"/>
            <w:shd w:fill="E9EFF6" w:val="clear"/>
            <w:tcMar>
              <w:top w:type="dxa" w:w="80"/>
              <w:left w:type="dxa" w:w="120"/>
              <w:bottom w:type="dxa" w:w="80"/>
              <w:right w:type="dxa" w:w="120"/>
            </w:tcMar>
            <w:vAlign w:val="center"/>
          </w:tcPr>
          <w:p>
            <w:pPr>
              <w:spacing w:line="312"/>
              <w:jc w:val="center"/>
            </w:pPr>
            <w:r>
              <w:rPr>
                <w:rFonts w:ascii="Times New Roman" w:cs="Times New Roman" w:eastAsia="Times New Roman" w:hAnsi="Times New Roman"/>
                <w:b/>
                <w:bCs/>
                <w:i w:val="false"/>
                <w:iCs w:val="false"/>
                <w:color w:val="000000"/>
                <w:sz w:val="24"/>
                <w:szCs w:val="24"/>
              </w:rPr>
              <w:t xml:space="preserve">Tỉ trọng ước tính (trên ~70 tiết/năm)</w:t>
            </w:r>
          </w:p>
        </w:tc>
      </w:tr>
      <w:tr>
        <w:trPr>
          <w:cantSplit/>
        </w:trPr>
        <w:tc>
          <w:tcPr>
            <w:tcW w:type="pct" w:w="20%"/>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DL – Học vấn số hóa phổ thông</w:t>
            </w:r>
          </w:p>
        </w:tc>
        <w:tc>
          <w:tcPr>
            <w:tcW w:type="pct" w:w="54%"/>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Đạo đức, pháp luật và văn hóa trong môi trường số: văn hóa ứng xử trên không gian mạng, tôn trọng bản quyền phần mềm, bảo vệ dữ liệu cá nhân; an toàn thông tin khi khai thác Internet; nhận diện thông tin sai lệch</w:t>
            </w:r>
          </w:p>
        </w:tc>
        <w:tc>
          <w:tcPr>
            <w:tcW w:type="pct" w:w="26%"/>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Khoảng 10% (chủ yếu lồng ghép xuyên suốt)</w:t>
            </w:r>
          </w:p>
        </w:tc>
      </w:tr>
      <w:tr>
        <w:trPr>
          <w:cantSplit/>
        </w:trPr>
        <w:tc>
          <w:tcPr>
            <w:tcW w:type="pct" w:w="20%"/>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ICT – Công nghệ Thông tin và Truyền thông</w:t>
            </w:r>
          </w:p>
        </w:tc>
        <w:tc>
          <w:tcPr>
            <w:tcW w:type="pct" w:w="54%"/>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Bảng tính điện tử: tổ chức dữ liệu trên trang tính, sử dụng hàm, tạo biểu đồ; khai thác Internet và công cụ trực tuyến phục vụ học tập; tạo lập sản phẩm số hỗ trợ các môn học khác</w:t>
            </w:r>
          </w:p>
        </w:tc>
        <w:tc>
          <w:tcPr>
            <w:tcW w:type="pct" w:w="26%"/>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Khoảng 25 – 30%</w:t>
            </w:r>
          </w:p>
        </w:tc>
      </w:tr>
      <w:tr>
        <w:trPr>
          <w:cantSplit/>
        </w:trPr>
        <w:tc>
          <w:tcPr>
            <w:tcW w:type="pct" w:w="20%"/>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CS – Khoa học Máy tính</w:t>
            </w:r>
          </w:p>
        </w:tc>
        <w:tc>
          <w:tcPr>
            <w:tcW w:type="pct" w:w="54%"/>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Thuật toán và lập trình Python có cấu trúc: biến, kiểu dữ liệu, nhập – xuất dữ liệu; câu lệnh điều kiện if – elif – else; vòng lặp for, while; hàm trong Python; giải bài toán thực tế bằng chương trình</w:t>
            </w:r>
          </w:p>
        </w:tc>
        <w:tc>
          <w:tcPr>
            <w:tcW w:type="pct" w:w="26%"/>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Khoảng 50 – 55%</w:t>
            </w:r>
          </w:p>
        </w:tc>
      </w:tr>
      <w:tr>
        <w:trPr>
          <w:cantSplit/>
        </w:trPr>
        <w:tc>
          <w:tcPr>
            <w:tcW w:type="pct" w:w="20%"/>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Ôn tập, kiểm tra định kỳ</w:t>
            </w:r>
          </w:p>
        </w:tc>
        <w:tc>
          <w:tcPr>
            <w:tcW w:type="pct" w:w="54%"/>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Ôn tập học kỳ; kiểm tra thường xuyên, kiểm tra định kỳ (kết hợp lý thuyết và thực hành)</w:t>
            </w:r>
          </w:p>
        </w:tc>
        <w:tc>
          <w:tcPr>
            <w:tcW w:type="pct" w:w="26%"/>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Khoảng 10%</w:t>
            </w:r>
          </w:p>
        </w:tc>
      </w:tr>
    </w:tbl>
    <w:p>
      <w:pPr>
        <w:spacing w:after="120"/>
      </w:pPr>
    </w:p>
    <w:p>
      <w:pPr>
        <w:pStyle w:val="Heading2"/>
        <w:keepNext/>
        <w:spacing w:after="120" w:before="240" w:line="312"/>
        <w:jc w:val="left"/>
      </w:pPr>
      <w:r>
        <w:rPr>
          <w:rFonts w:ascii="Times New Roman" w:cs="Times New Roman" w:eastAsia="Times New Roman" w:hAnsi="Times New Roman"/>
          <w:b/>
          <w:bCs/>
          <w:color w:val="000000"/>
          <w:sz w:val="28"/>
          <w:szCs w:val="28"/>
        </w:rPr>
        <w:t xml:space="preserve">3. Minh chứng từ kế hoạch dạy học học kỳ I</w:t>
      </w:r>
    </w:p>
    <w:p>
      <w:pPr>
        <w:keepNext/>
        <w:keepLines w:val="false"/>
        <w:spacing w:after="12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Để tỉ trọng ước tính ở Bảng 1 có căn cứ, tôi đối chiếu với kế hoạch dạy học năm học môn Tin học lớp 8 (trích học kỳ I) được nêu trong giáo trình. Kết quả phân loại theo ba trụ cột như sau:</w:t>
      </w:r>
    </w:p>
    <w:p>
      <w:pPr>
        <w:keepNext/>
        <w:spacing w:after="100" w:before="160" w:line="312"/>
        <w:jc w:val="center"/>
      </w:pPr>
      <w:r>
        <w:rPr>
          <w:rFonts w:ascii="Times New Roman" w:cs="Times New Roman" w:eastAsia="Times New Roman" w:hAnsi="Times New Roman"/>
          <w:b/>
          <w:bCs/>
          <w:i w:val="false"/>
          <w:iCs w:val="false"/>
          <w:color w:val="1F3864"/>
          <w:sz w:val="24"/>
          <w:szCs w:val="24"/>
        </w:rPr>
        <w:t xml:space="preserve">Bảng 2. Phân loại kế hoạch dạy học Tin học lớp 8 – học kỳ I theo ba trụ cột</w:t>
      </w:r>
    </w:p>
    <w:tbl>
      <w:tblPr>
        <w:tblW w:type="pct" w:w="100%"/>
        <w:tblBorders>
          <w:top w:val="single" w:color="1F3864" w:sz="8"/>
          <w:left w:val="none" w:color="FFFFFF" w:sz="0"/>
          <w:bottom w:val="single" w:color="1F3864" w:sz="8"/>
          <w:right w:val="none" w:color="FFFFFF" w:sz="0"/>
          <w:insideH w:val="single" w:color="C9D3DE" w:sz="4"/>
          <w:insideV w:val="single" w:color="C9D3DE" w:sz="4"/>
        </w:tblBorders>
      </w:tblPr>
      <w:tblGrid>
        <w:gridCol w:w="100"/>
        <w:gridCol w:w="100"/>
        <w:gridCol w:w="100"/>
        <w:gridCol w:w="100"/>
      </w:tblGrid>
      <w:tr>
        <w:trPr>
          <w:cantSplit/>
          <w:tblHeader/>
        </w:trPr>
        <w:tc>
          <w:tcPr>
            <w:tcW w:type="pct" w:w="10%"/>
            <w:shd w:fill="E9EFF6" w:val="clear"/>
            <w:tcMar>
              <w:top w:type="dxa" w:w="80"/>
              <w:left w:type="dxa" w:w="120"/>
              <w:bottom w:type="dxa" w:w="80"/>
              <w:right w:type="dxa" w:w="120"/>
            </w:tcMar>
            <w:vAlign w:val="center"/>
          </w:tcPr>
          <w:p>
            <w:pPr>
              <w:spacing w:line="312"/>
              <w:jc w:val="center"/>
            </w:pPr>
            <w:r>
              <w:rPr>
                <w:rFonts w:ascii="Times New Roman" w:cs="Times New Roman" w:eastAsia="Times New Roman" w:hAnsi="Times New Roman"/>
                <w:b/>
                <w:bCs/>
                <w:i w:val="false"/>
                <w:iCs w:val="false"/>
                <w:color w:val="000000"/>
                <w:sz w:val="24"/>
                <w:szCs w:val="24"/>
              </w:rPr>
              <w:t xml:space="preserve">Tuần</w:t>
            </w:r>
          </w:p>
        </w:tc>
        <w:tc>
          <w:tcPr>
            <w:tcW w:type="pct" w:w="46%"/>
            <w:shd w:fill="E9EFF6" w:val="clear"/>
            <w:tcMar>
              <w:top w:type="dxa" w:w="80"/>
              <w:left w:type="dxa" w:w="120"/>
              <w:bottom w:type="dxa" w:w="80"/>
              <w:right w:type="dxa" w:w="120"/>
            </w:tcMar>
            <w:vAlign w:val="center"/>
          </w:tcPr>
          <w:p>
            <w:pPr>
              <w:spacing w:line="312"/>
              <w:jc w:val="center"/>
            </w:pPr>
            <w:r>
              <w:rPr>
                <w:rFonts w:ascii="Times New Roman" w:cs="Times New Roman" w:eastAsia="Times New Roman" w:hAnsi="Times New Roman"/>
                <w:b/>
                <w:bCs/>
                <w:i w:val="false"/>
                <w:iCs w:val="false"/>
                <w:color w:val="000000"/>
                <w:sz w:val="24"/>
                <w:szCs w:val="24"/>
              </w:rPr>
              <w:t xml:space="preserve">Chủ đề / bài học</w:t>
            </w:r>
          </w:p>
        </w:tc>
        <w:tc>
          <w:tcPr>
            <w:tcW w:type="pct" w:w="10%"/>
            <w:shd w:fill="E9EFF6" w:val="clear"/>
            <w:tcMar>
              <w:top w:type="dxa" w:w="80"/>
              <w:left w:type="dxa" w:w="120"/>
              <w:bottom w:type="dxa" w:w="80"/>
              <w:right w:type="dxa" w:w="120"/>
            </w:tcMar>
            <w:vAlign w:val="center"/>
          </w:tcPr>
          <w:p>
            <w:pPr>
              <w:spacing w:line="312"/>
              <w:jc w:val="center"/>
            </w:pPr>
            <w:r>
              <w:rPr>
                <w:rFonts w:ascii="Times New Roman" w:cs="Times New Roman" w:eastAsia="Times New Roman" w:hAnsi="Times New Roman"/>
                <w:b/>
                <w:bCs/>
                <w:i w:val="false"/>
                <w:iCs w:val="false"/>
                <w:color w:val="000000"/>
                <w:sz w:val="24"/>
                <w:szCs w:val="24"/>
              </w:rPr>
              <w:t xml:space="preserve">Số tiết</w:t>
            </w:r>
          </w:p>
        </w:tc>
        <w:tc>
          <w:tcPr>
            <w:tcW w:type="pct" w:w="34%"/>
            <w:shd w:fill="E9EFF6" w:val="clear"/>
            <w:tcMar>
              <w:top w:type="dxa" w:w="80"/>
              <w:left w:type="dxa" w:w="120"/>
              <w:bottom w:type="dxa" w:w="80"/>
              <w:right w:type="dxa" w:w="120"/>
            </w:tcMar>
            <w:vAlign w:val="center"/>
          </w:tcPr>
          <w:p>
            <w:pPr>
              <w:spacing w:line="312"/>
              <w:jc w:val="center"/>
            </w:pPr>
            <w:r>
              <w:rPr>
                <w:rFonts w:ascii="Times New Roman" w:cs="Times New Roman" w:eastAsia="Times New Roman" w:hAnsi="Times New Roman"/>
                <w:b/>
                <w:bCs/>
                <w:i w:val="false"/>
                <w:iCs w:val="false"/>
                <w:color w:val="000000"/>
                <w:sz w:val="24"/>
                <w:szCs w:val="24"/>
              </w:rPr>
              <w:t xml:space="preserve">Thuộc trụ cột</w:t>
            </w:r>
          </w:p>
        </w:tc>
      </w:tr>
      <w:tr>
        <w:trPr>
          <w:cantSplit/>
        </w:trPr>
        <w:tc>
          <w:tcPr>
            <w:tcW w:type="pct" w:w="10%"/>
            <w:tcMar>
              <w:top w:type="dxa" w:w="80"/>
              <w:left w:type="dxa" w:w="120"/>
              <w:bottom w:type="dxa" w:w="80"/>
              <w:right w:type="dxa" w:w="120"/>
            </w:tcMar>
            <w:vAlign w:val="center"/>
          </w:tcPr>
          <w:p>
            <w:pPr>
              <w:spacing w:after="20" w:line="312"/>
              <w:jc w:val="center"/>
            </w:pPr>
            <w:r>
              <w:rPr>
                <w:rFonts w:ascii="Times New Roman" w:cs="Times New Roman" w:eastAsia="Times New Roman" w:hAnsi="Times New Roman"/>
                <w:b w:val="false"/>
                <w:bCs w:val="false"/>
                <w:i w:val="false"/>
                <w:iCs w:val="false"/>
                <w:color w:val="000000"/>
                <w:sz w:val="24"/>
                <w:szCs w:val="24"/>
              </w:rPr>
              <w:t xml:space="preserve">1 – 2</w:t>
            </w:r>
          </w:p>
        </w:tc>
        <w:tc>
          <w:tcPr>
            <w:tcW w:type="pct" w:w="46%"/>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Ôn tập lớp 7; giới thiệu Python và môi trường lập trình</w:t>
            </w:r>
          </w:p>
        </w:tc>
        <w:tc>
          <w:tcPr>
            <w:tcW w:type="pct" w:w="10%"/>
            <w:tcMar>
              <w:top w:type="dxa" w:w="80"/>
              <w:left w:type="dxa" w:w="120"/>
              <w:bottom w:type="dxa" w:w="80"/>
              <w:right w:type="dxa" w:w="120"/>
            </w:tcMar>
            <w:vAlign w:val="center"/>
          </w:tcPr>
          <w:p>
            <w:pPr>
              <w:spacing w:after="20" w:line="312"/>
              <w:jc w:val="center"/>
            </w:pPr>
            <w:r>
              <w:rPr>
                <w:rFonts w:ascii="Times New Roman" w:cs="Times New Roman" w:eastAsia="Times New Roman" w:hAnsi="Times New Roman"/>
                <w:b w:val="false"/>
                <w:bCs w:val="false"/>
                <w:i w:val="false"/>
                <w:iCs w:val="false"/>
                <w:color w:val="000000"/>
                <w:sz w:val="24"/>
                <w:szCs w:val="24"/>
              </w:rPr>
              <w:t xml:space="preserve">4</w:t>
            </w:r>
          </w:p>
        </w:tc>
        <w:tc>
          <w:tcPr>
            <w:tcW w:type="pct" w:w="34%"/>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CS (+ ôn tập đầu năm)</w:t>
            </w:r>
          </w:p>
        </w:tc>
      </w:tr>
      <w:tr>
        <w:trPr>
          <w:cantSplit/>
        </w:trPr>
        <w:tc>
          <w:tcPr>
            <w:tcW w:type="pct" w:w="10%"/>
            <w:tcMar>
              <w:top w:type="dxa" w:w="80"/>
              <w:left w:type="dxa" w:w="120"/>
              <w:bottom w:type="dxa" w:w="80"/>
              <w:right w:type="dxa" w:w="120"/>
            </w:tcMar>
            <w:vAlign w:val="center"/>
          </w:tcPr>
          <w:p>
            <w:pPr>
              <w:spacing w:after="20" w:line="312"/>
              <w:jc w:val="center"/>
            </w:pPr>
            <w:r>
              <w:rPr>
                <w:rFonts w:ascii="Times New Roman" w:cs="Times New Roman" w:eastAsia="Times New Roman" w:hAnsi="Times New Roman"/>
                <w:b w:val="false"/>
                <w:bCs w:val="false"/>
                <w:i w:val="false"/>
                <w:iCs w:val="false"/>
                <w:color w:val="000000"/>
                <w:sz w:val="24"/>
                <w:szCs w:val="24"/>
              </w:rPr>
              <w:t xml:space="preserve">3 – 5</w:t>
            </w:r>
          </w:p>
        </w:tc>
        <w:tc>
          <w:tcPr>
            <w:tcW w:type="pct" w:w="46%"/>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Biến, kiểu dữ liệu, nhập/xuất trong Python</w:t>
            </w:r>
          </w:p>
        </w:tc>
        <w:tc>
          <w:tcPr>
            <w:tcW w:type="pct" w:w="10%"/>
            <w:tcMar>
              <w:top w:type="dxa" w:w="80"/>
              <w:left w:type="dxa" w:w="120"/>
              <w:bottom w:type="dxa" w:w="80"/>
              <w:right w:type="dxa" w:w="120"/>
            </w:tcMar>
            <w:vAlign w:val="center"/>
          </w:tcPr>
          <w:p>
            <w:pPr>
              <w:spacing w:after="20" w:line="312"/>
              <w:jc w:val="center"/>
            </w:pPr>
            <w:r>
              <w:rPr>
                <w:rFonts w:ascii="Times New Roman" w:cs="Times New Roman" w:eastAsia="Times New Roman" w:hAnsi="Times New Roman"/>
                <w:b w:val="false"/>
                <w:bCs w:val="false"/>
                <w:i w:val="false"/>
                <w:iCs w:val="false"/>
                <w:color w:val="000000"/>
                <w:sz w:val="24"/>
                <w:szCs w:val="24"/>
              </w:rPr>
              <w:t xml:space="preserve">6</w:t>
            </w:r>
          </w:p>
        </w:tc>
        <w:tc>
          <w:tcPr>
            <w:tcW w:type="pct" w:w="34%"/>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CS</w:t>
            </w:r>
          </w:p>
        </w:tc>
      </w:tr>
      <w:tr>
        <w:trPr>
          <w:cantSplit/>
        </w:trPr>
        <w:tc>
          <w:tcPr>
            <w:tcW w:type="pct" w:w="10%"/>
            <w:tcMar>
              <w:top w:type="dxa" w:w="80"/>
              <w:left w:type="dxa" w:w="120"/>
              <w:bottom w:type="dxa" w:w="80"/>
              <w:right w:type="dxa" w:w="120"/>
            </w:tcMar>
            <w:vAlign w:val="center"/>
          </w:tcPr>
          <w:p>
            <w:pPr>
              <w:spacing w:after="20" w:line="312"/>
              <w:jc w:val="center"/>
            </w:pPr>
            <w:r>
              <w:rPr>
                <w:rFonts w:ascii="Times New Roman" w:cs="Times New Roman" w:eastAsia="Times New Roman" w:hAnsi="Times New Roman"/>
                <w:b w:val="false"/>
                <w:bCs w:val="false"/>
                <w:i w:val="false"/>
                <w:iCs w:val="false"/>
                <w:color w:val="000000"/>
                <w:sz w:val="24"/>
                <w:szCs w:val="24"/>
              </w:rPr>
              <w:t xml:space="preserve">6 – 8</w:t>
            </w:r>
          </w:p>
        </w:tc>
        <w:tc>
          <w:tcPr>
            <w:tcW w:type="pct" w:w="46%"/>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Câu lệnh điều kiện if – elif – else (tích hợp Toán: bài toán phân loại)</w:t>
            </w:r>
          </w:p>
        </w:tc>
        <w:tc>
          <w:tcPr>
            <w:tcW w:type="pct" w:w="10%"/>
            <w:tcMar>
              <w:top w:type="dxa" w:w="80"/>
              <w:left w:type="dxa" w:w="120"/>
              <w:bottom w:type="dxa" w:w="80"/>
              <w:right w:type="dxa" w:w="120"/>
            </w:tcMar>
            <w:vAlign w:val="center"/>
          </w:tcPr>
          <w:p>
            <w:pPr>
              <w:spacing w:after="20" w:line="312"/>
              <w:jc w:val="center"/>
            </w:pPr>
            <w:r>
              <w:rPr>
                <w:rFonts w:ascii="Times New Roman" w:cs="Times New Roman" w:eastAsia="Times New Roman" w:hAnsi="Times New Roman"/>
                <w:b w:val="false"/>
                <w:bCs w:val="false"/>
                <w:i w:val="false"/>
                <w:iCs w:val="false"/>
                <w:color w:val="000000"/>
                <w:sz w:val="24"/>
                <w:szCs w:val="24"/>
              </w:rPr>
              <w:t xml:space="preserve">6</w:t>
            </w:r>
          </w:p>
        </w:tc>
        <w:tc>
          <w:tcPr>
            <w:tcW w:type="pct" w:w="34%"/>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CS</w:t>
            </w:r>
          </w:p>
        </w:tc>
      </w:tr>
      <w:tr>
        <w:trPr>
          <w:cantSplit/>
        </w:trPr>
        <w:tc>
          <w:tcPr>
            <w:tcW w:type="pct" w:w="10%"/>
            <w:tcMar>
              <w:top w:type="dxa" w:w="80"/>
              <w:left w:type="dxa" w:w="120"/>
              <w:bottom w:type="dxa" w:w="80"/>
              <w:right w:type="dxa" w:w="120"/>
            </w:tcMar>
            <w:vAlign w:val="center"/>
          </w:tcPr>
          <w:p>
            <w:pPr>
              <w:spacing w:after="20" w:line="312"/>
              <w:jc w:val="center"/>
            </w:pPr>
            <w:r>
              <w:rPr>
                <w:rFonts w:ascii="Times New Roman" w:cs="Times New Roman" w:eastAsia="Times New Roman" w:hAnsi="Times New Roman"/>
                <w:b w:val="false"/>
                <w:bCs w:val="false"/>
                <w:i w:val="false"/>
                <w:iCs w:val="false"/>
                <w:color w:val="000000"/>
                <w:sz w:val="24"/>
                <w:szCs w:val="24"/>
              </w:rPr>
              <w:t xml:space="preserve">9</w:t>
            </w:r>
          </w:p>
        </w:tc>
        <w:tc>
          <w:tcPr>
            <w:tcW w:type="pct" w:w="46%"/>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Kiểm tra thường xuyên (thực hành)</w:t>
            </w:r>
          </w:p>
        </w:tc>
        <w:tc>
          <w:tcPr>
            <w:tcW w:type="pct" w:w="10%"/>
            <w:tcMar>
              <w:top w:type="dxa" w:w="80"/>
              <w:left w:type="dxa" w:w="120"/>
              <w:bottom w:type="dxa" w:w="80"/>
              <w:right w:type="dxa" w:w="120"/>
            </w:tcMar>
            <w:vAlign w:val="center"/>
          </w:tcPr>
          <w:p>
            <w:pPr>
              <w:spacing w:after="20" w:line="312"/>
              <w:jc w:val="center"/>
            </w:pPr>
            <w:r>
              <w:rPr>
                <w:rFonts w:ascii="Times New Roman" w:cs="Times New Roman" w:eastAsia="Times New Roman" w:hAnsi="Times New Roman"/>
                <w:b w:val="false"/>
                <w:bCs w:val="false"/>
                <w:i w:val="false"/>
                <w:iCs w:val="false"/>
                <w:color w:val="000000"/>
                <w:sz w:val="24"/>
                <w:szCs w:val="24"/>
              </w:rPr>
              <w:t xml:space="preserve">1</w:t>
            </w:r>
          </w:p>
        </w:tc>
        <w:tc>
          <w:tcPr>
            <w:tcW w:type="pct" w:w="34%"/>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Kiểm tra đánh giá</w:t>
            </w:r>
          </w:p>
        </w:tc>
      </w:tr>
      <w:tr>
        <w:trPr>
          <w:cantSplit/>
        </w:trPr>
        <w:tc>
          <w:tcPr>
            <w:tcW w:type="pct" w:w="10%"/>
            <w:tcMar>
              <w:top w:type="dxa" w:w="80"/>
              <w:left w:type="dxa" w:w="120"/>
              <w:bottom w:type="dxa" w:w="80"/>
              <w:right w:type="dxa" w:w="120"/>
            </w:tcMar>
            <w:vAlign w:val="center"/>
          </w:tcPr>
          <w:p>
            <w:pPr>
              <w:spacing w:after="20" w:line="312"/>
              <w:jc w:val="center"/>
            </w:pPr>
            <w:r>
              <w:rPr>
                <w:rFonts w:ascii="Times New Roman" w:cs="Times New Roman" w:eastAsia="Times New Roman" w:hAnsi="Times New Roman"/>
                <w:b w:val="false"/>
                <w:bCs w:val="false"/>
                <w:i w:val="false"/>
                <w:iCs w:val="false"/>
                <w:color w:val="000000"/>
                <w:sz w:val="24"/>
                <w:szCs w:val="24"/>
              </w:rPr>
              <w:t xml:space="preserve">10 – 12</w:t>
            </w:r>
          </w:p>
        </w:tc>
        <w:tc>
          <w:tcPr>
            <w:tcW w:type="pct" w:w="46%"/>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Vòng lặp for và while (tích hợp: bảng cửu chương, dãy số)</w:t>
            </w:r>
          </w:p>
        </w:tc>
        <w:tc>
          <w:tcPr>
            <w:tcW w:type="pct" w:w="10%"/>
            <w:tcMar>
              <w:top w:type="dxa" w:w="80"/>
              <w:left w:type="dxa" w:w="120"/>
              <w:bottom w:type="dxa" w:w="80"/>
              <w:right w:type="dxa" w:w="120"/>
            </w:tcMar>
            <w:vAlign w:val="center"/>
          </w:tcPr>
          <w:p>
            <w:pPr>
              <w:spacing w:after="20" w:line="312"/>
              <w:jc w:val="center"/>
            </w:pPr>
            <w:r>
              <w:rPr>
                <w:rFonts w:ascii="Times New Roman" w:cs="Times New Roman" w:eastAsia="Times New Roman" w:hAnsi="Times New Roman"/>
                <w:b w:val="false"/>
                <w:bCs w:val="false"/>
                <w:i w:val="false"/>
                <w:iCs w:val="false"/>
                <w:color w:val="000000"/>
                <w:sz w:val="24"/>
                <w:szCs w:val="24"/>
              </w:rPr>
              <w:t xml:space="preserve">6</w:t>
            </w:r>
          </w:p>
        </w:tc>
        <w:tc>
          <w:tcPr>
            <w:tcW w:type="pct" w:w="34%"/>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CS</w:t>
            </w:r>
          </w:p>
        </w:tc>
      </w:tr>
      <w:tr>
        <w:trPr>
          <w:cantSplit/>
        </w:trPr>
        <w:tc>
          <w:tcPr>
            <w:tcW w:type="pct" w:w="10%"/>
            <w:tcMar>
              <w:top w:type="dxa" w:w="80"/>
              <w:left w:type="dxa" w:w="120"/>
              <w:bottom w:type="dxa" w:w="80"/>
              <w:right w:type="dxa" w:w="120"/>
            </w:tcMar>
            <w:vAlign w:val="center"/>
          </w:tcPr>
          <w:p>
            <w:pPr>
              <w:spacing w:after="20" w:line="312"/>
              <w:jc w:val="center"/>
            </w:pPr>
            <w:r>
              <w:rPr>
                <w:rFonts w:ascii="Times New Roman" w:cs="Times New Roman" w:eastAsia="Times New Roman" w:hAnsi="Times New Roman"/>
                <w:b w:val="false"/>
                <w:bCs w:val="false"/>
                <w:i w:val="false"/>
                <w:iCs w:val="false"/>
                <w:color w:val="000000"/>
                <w:sz w:val="24"/>
                <w:szCs w:val="24"/>
              </w:rPr>
              <w:t xml:space="preserve">13 – 15</w:t>
            </w:r>
          </w:p>
        </w:tc>
        <w:tc>
          <w:tcPr>
            <w:tcW w:type="pct" w:w="46%"/>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Hàm trong Python</w:t>
            </w:r>
          </w:p>
        </w:tc>
        <w:tc>
          <w:tcPr>
            <w:tcW w:type="pct" w:w="10%"/>
            <w:tcMar>
              <w:top w:type="dxa" w:w="80"/>
              <w:left w:type="dxa" w:w="120"/>
              <w:bottom w:type="dxa" w:w="80"/>
              <w:right w:type="dxa" w:w="120"/>
            </w:tcMar>
            <w:vAlign w:val="center"/>
          </w:tcPr>
          <w:p>
            <w:pPr>
              <w:spacing w:after="20" w:line="312"/>
              <w:jc w:val="center"/>
            </w:pPr>
            <w:r>
              <w:rPr>
                <w:rFonts w:ascii="Times New Roman" w:cs="Times New Roman" w:eastAsia="Times New Roman" w:hAnsi="Times New Roman"/>
                <w:b w:val="false"/>
                <w:bCs w:val="false"/>
                <w:i w:val="false"/>
                <w:iCs w:val="false"/>
                <w:color w:val="000000"/>
                <w:sz w:val="24"/>
                <w:szCs w:val="24"/>
              </w:rPr>
              <w:t xml:space="preserve">6</w:t>
            </w:r>
          </w:p>
        </w:tc>
        <w:tc>
          <w:tcPr>
            <w:tcW w:type="pct" w:w="34%"/>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CS</w:t>
            </w:r>
          </w:p>
        </w:tc>
      </w:tr>
      <w:tr>
        <w:trPr>
          <w:cantSplit/>
        </w:trPr>
        <w:tc>
          <w:tcPr>
            <w:tcW w:type="pct" w:w="10%"/>
            <w:tcMar>
              <w:top w:type="dxa" w:w="80"/>
              <w:left w:type="dxa" w:w="120"/>
              <w:bottom w:type="dxa" w:w="80"/>
              <w:right w:type="dxa" w:w="120"/>
            </w:tcMar>
            <w:vAlign w:val="center"/>
          </w:tcPr>
          <w:p>
            <w:pPr>
              <w:spacing w:after="20" w:line="312"/>
              <w:jc w:val="center"/>
            </w:pPr>
            <w:r>
              <w:rPr>
                <w:rFonts w:ascii="Times New Roman" w:cs="Times New Roman" w:eastAsia="Times New Roman" w:hAnsi="Times New Roman"/>
                <w:b w:val="false"/>
                <w:bCs w:val="false"/>
                <w:i w:val="false"/>
                <w:iCs w:val="false"/>
                <w:color w:val="000000"/>
                <w:sz w:val="24"/>
                <w:szCs w:val="24"/>
              </w:rPr>
              <w:t xml:space="preserve">16</w:t>
            </w:r>
          </w:p>
        </w:tc>
        <w:tc>
          <w:tcPr>
            <w:tcW w:type="pct" w:w="46%"/>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Ôn tập học kỳ I</w:t>
            </w:r>
          </w:p>
        </w:tc>
        <w:tc>
          <w:tcPr>
            <w:tcW w:type="pct" w:w="10%"/>
            <w:tcMar>
              <w:top w:type="dxa" w:w="80"/>
              <w:left w:type="dxa" w:w="120"/>
              <w:bottom w:type="dxa" w:w="80"/>
              <w:right w:type="dxa" w:w="120"/>
            </w:tcMar>
            <w:vAlign w:val="center"/>
          </w:tcPr>
          <w:p>
            <w:pPr>
              <w:spacing w:after="20" w:line="312"/>
              <w:jc w:val="center"/>
            </w:pPr>
            <w:r>
              <w:rPr>
                <w:rFonts w:ascii="Times New Roman" w:cs="Times New Roman" w:eastAsia="Times New Roman" w:hAnsi="Times New Roman"/>
                <w:b w:val="false"/>
                <w:bCs w:val="false"/>
                <w:i w:val="false"/>
                <w:iCs w:val="false"/>
                <w:color w:val="000000"/>
                <w:sz w:val="24"/>
                <w:szCs w:val="24"/>
              </w:rPr>
              <w:t xml:space="preserve">2</w:t>
            </w:r>
          </w:p>
        </w:tc>
        <w:tc>
          <w:tcPr>
            <w:tcW w:type="pct" w:w="34%"/>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Ôn tập</w:t>
            </w:r>
          </w:p>
        </w:tc>
      </w:tr>
      <w:tr>
        <w:trPr>
          <w:cantSplit/>
        </w:trPr>
        <w:tc>
          <w:tcPr>
            <w:tcW w:type="pct" w:w="10%"/>
            <w:tcMar>
              <w:top w:type="dxa" w:w="80"/>
              <w:left w:type="dxa" w:w="120"/>
              <w:bottom w:type="dxa" w:w="80"/>
              <w:right w:type="dxa" w:w="120"/>
            </w:tcMar>
            <w:vAlign w:val="center"/>
          </w:tcPr>
          <w:p>
            <w:pPr>
              <w:spacing w:after="20" w:line="312"/>
              <w:jc w:val="center"/>
            </w:pPr>
            <w:r>
              <w:rPr>
                <w:rFonts w:ascii="Times New Roman" w:cs="Times New Roman" w:eastAsia="Times New Roman" w:hAnsi="Times New Roman"/>
                <w:b w:val="false"/>
                <w:bCs w:val="false"/>
                <w:i w:val="false"/>
                <w:iCs w:val="false"/>
                <w:color w:val="000000"/>
                <w:sz w:val="24"/>
                <w:szCs w:val="24"/>
              </w:rPr>
              <w:t xml:space="preserve">17</w:t>
            </w:r>
          </w:p>
        </w:tc>
        <w:tc>
          <w:tcPr>
            <w:tcW w:type="pct" w:w="46%"/>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Kiểm tra định kỳ cuối học kỳ I</w:t>
            </w:r>
          </w:p>
        </w:tc>
        <w:tc>
          <w:tcPr>
            <w:tcW w:type="pct" w:w="10%"/>
            <w:tcMar>
              <w:top w:type="dxa" w:w="80"/>
              <w:left w:type="dxa" w:w="120"/>
              <w:bottom w:type="dxa" w:w="80"/>
              <w:right w:type="dxa" w:w="120"/>
            </w:tcMar>
            <w:vAlign w:val="center"/>
          </w:tcPr>
          <w:p>
            <w:pPr>
              <w:spacing w:after="20" w:line="312"/>
              <w:jc w:val="center"/>
            </w:pPr>
            <w:r>
              <w:rPr>
                <w:rFonts w:ascii="Times New Roman" w:cs="Times New Roman" w:eastAsia="Times New Roman" w:hAnsi="Times New Roman"/>
                <w:b w:val="false"/>
                <w:bCs w:val="false"/>
                <w:i w:val="false"/>
                <w:iCs w:val="false"/>
                <w:color w:val="000000"/>
                <w:sz w:val="24"/>
                <w:szCs w:val="24"/>
              </w:rPr>
              <w:t xml:space="preserve">2</w:t>
            </w:r>
          </w:p>
        </w:tc>
        <w:tc>
          <w:tcPr>
            <w:tcW w:type="pct" w:w="34%"/>
            <w:tcMar>
              <w:top w:type="dxa" w:w="80"/>
              <w:left w:type="dxa" w:w="120"/>
              <w:bottom w:type="dxa" w:w="80"/>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Kiểm tra đánh giá</w:t>
            </w:r>
          </w:p>
        </w:tc>
      </w:tr>
    </w:tbl>
    <w:p>
      <w:pPr>
        <w:spacing w:after="120"/>
      </w:pPr>
    </w:p>
    <w:p>
      <w:pPr>
        <w:keepNext w:val="false"/>
        <w:keepLines w:val="false"/>
        <w:spacing w:after="12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Số liệu cho thấy trong học kỳ I (33 tiết), phần nội dung mới gần như tập trung hoàn toàn vào mạch CS: 28/33 tiết (khoảng 85%) dành cho lập trình Python và môi trường lập trình; các tiết còn lại là ôn tập và kiểm tra. Các chủ đề bảng tính điện tử (ICT) và chủ đề đạo đức – văn hóa số (DL) thường được bố trí chủ yếu ở học kỳ II hoặc lồng ghép vào các tình huống thực hành trong học kỳ I. Điều này phù hợp với vị trí của lớp 8 trong giai đoạn 3 — giai đoạn “lập trình thực sự” của logic phát triển nội dung môn Tin học.</w:t>
      </w:r>
    </w:p>
    <w:p>
      <w:pPr>
        <w:pStyle w:val="Heading2"/>
        <w:keepNext/>
        <w:spacing w:after="120" w:before="240" w:line="312"/>
        <w:jc w:val="left"/>
      </w:pPr>
      <w:r>
        <w:rPr>
          <w:rFonts w:ascii="Times New Roman" w:cs="Times New Roman" w:eastAsia="Times New Roman" w:hAnsi="Times New Roman"/>
          <w:b/>
          <w:bCs/>
          <w:color w:val="000000"/>
          <w:sz w:val="28"/>
          <w:szCs w:val="28"/>
        </w:rPr>
        <w:t xml:space="preserve">4. Nhận xét về tỉ trọng của ba trụ cột ở lớp 8</w:t>
      </w:r>
    </w:p>
    <w:p>
      <w:pPr>
        <w:keepNext w:val="false"/>
        <w:keepLines w:val="false"/>
        <w:spacing w:after="12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Thứ nhất, trụ cột CS chiếm tỉ trọng lớn nhất, khoảng 50 – 55% thời lượng cả năm và gần như tuyệt đối trong học kỳ I. Tỉ trọng cao này là hợp lý vì lớp 8 nằm ở giai đoạn phát triển tư duy thuật toán và lập trình thực sự, đồng thời phản ánh định hướng của Chương trình GDPT 2018 khi đặt chủ đề “Giải quyết vấn đề với sự trợ giúp của máy tính” giữ vai trò trung tâm, thể hiện rõ đặc trưng khoa học của môn Tin học. Việc sắp xếp dồn các chủ đề Python vào học kỳ I cũng bảo đảm tính logic của nội dung: các khái niệm biến, câu lệnh điều kiện, vòng lặp, hàm được học liên tục theo trình tự từ đơn giản đến phức tạp, tránh “đứt gãy” giữa các khái niệm có quan hệ chặt chẽ.</w:t>
      </w:r>
    </w:p>
    <w:p>
      <w:pPr>
        <w:keepNext w:val="false"/>
        <w:keepLines w:val="false"/>
        <w:spacing w:after="12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Thứ hai, trụ cột ICT duy trì tỉ trọng ổn định khoảng 25 – 30%, tập trung vào bảng tính điện tử và khai thác Internet phục vụ học tập. Mạch này bảo đảm năng lực số thực hành cho học sinh, gắn với kĩ năng công cụ có thể vận dụng ngay trong các môn học khác (xử lý số liệu thí nghiệm, thống kê điểm số, tạo sản phẩm trình bày). Tỉ trọng của ICT tuy thấp hơn CS nhưng mang tính ứng dụng rộng, phục vụ mọi lĩnh vực nghề nghiệp tương lai của học sinh — đúng với quan điểm của chương trình: không phải học sinh nào cũng cần trở thành lập trình viên, nhưng tất cả đều cần năng lực số.</w:t>
      </w:r>
    </w:p>
    <w:p>
      <w:pPr>
        <w:keepNext w:val="false"/>
        <w:keepLines w:val="false"/>
        <w:spacing w:after="12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Thứ ba, trụ cột DL chiếm tỉ trọng “hiện hữu” nhỏ nhất (khoảng 10% nếu tính theo tiết dạy riêng) nhưng có tính tích hợp xuyên suốt: các yêu cầu về bản quyền phần mềm khi cài đặt công cụ lập trình, ứng xử văn hóa khi làm việc nhóm trực tuyến, an toàn thông tin khi tìm kiếm tài liệu học tập đều được lồng ghép tự nhiên trong các chủ đề CS và ICT. Đây là cách tổ chức phù hợp với bản chất của DL — nội dung thuộc trụ cột này không nên dạy thành các tiết “học thuộc” riêng lẻ mà nên chuyển hóa thành hành vi, thói quen số trong toàn bộ quá trình học tập.</w:t>
      </w:r>
    </w:p>
    <w:p>
      <w:pPr>
        <w:keepNext w:val="false"/>
        <w:keepLines w:val="false"/>
        <w:spacing w:after="16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Thứ tư, đối chiếu với các khuyến nghị của chương trình: cấu trúc tỉ trọng ba trụ cột ở lớp 8 là tương thích với yêu cầu tỉ lệ thực hành tối thiểu 50% và đặc thù các chủ đề CS cho phép 60 – 70% thời gian thực hành. Tuy nhiên, từ phân tích trên cũng rút ra hàm ý sư phạm cho giáo viên: cần tránh thiên lệch “dạy công cụ” thuần túy; khi tập trung dạy Python theo kế hoạch học kỳ I, giáo viên vẫn phải chủ động “khéo léo” lồng ghép các nội dung DL (đạo đức số, bản quyền, an toàn thông tin) vào từng tiết, và dành thời lượng đủ cho ICT ở học kỳ II để ba trụ cột phát triển cân đối theo đúng ý đồ của chương trình.</w:t>
      </w:r>
    </w:p>
    <w:p>
      <w:pPr>
        <w:pStyle w:val="Heading2"/>
        <w:keepNext/>
        <w:spacing w:after="120" w:before="240" w:line="312"/>
        <w:jc w:val="left"/>
      </w:pPr>
      <w:r>
        <w:rPr>
          <w:rFonts w:ascii="Times New Roman" w:cs="Times New Roman" w:eastAsia="Times New Roman" w:hAnsi="Times New Roman"/>
          <w:b/>
          <w:bCs/>
          <w:color w:val="000000"/>
          <w:sz w:val="28"/>
          <w:szCs w:val="28"/>
        </w:rPr>
        <w:t xml:space="preserve">5. Kết luận</w:t>
      </w:r>
    </w:p>
    <w:p>
      <w:pPr>
        <w:keepNext w:val="false"/>
        <w:keepLines w:val="false"/>
        <w:spacing w:after="12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Phân loại chủ đề Tin học lớp 8 theo ba trụ cột cho thấy bức tranh tỉ trọng rõ ràng: CS là trụ cột trụ (khoảng 50 – 55%, tập trung ở học kỳ I), ICT giữ vai trò ổn định (khoảng 25 – 30%), DL là lớp nền lồng ghép xuyên suốt (khoảng 10% thời lượng riêng). Tỉ trọng này không phải ngẫu nhiên mà là kết quả của thiết kế chương trình bám theo giai đoạn phát triển của học sinh (tư duy thuật toán, lập trình thực sự) và theo logic đồng tâm – xoắn ốc của nội dung môn học. Bài tập giúp tôi hiểu sâu hơn ba trụ cột DL – ICT – CS không chỉ là khái niệm lý thuyết mà là công cụ phân tích rất thực dụng: khi nắm được “tỉ trọng và vị trí” của từng mạch trong từng lớp, giáo viên có thể lập kế hoạch dạy học hợp lý, phân bổ thời gian lý thuyết – thực hành đúng khuyến nghị và bảo đảm ba trụ cột phát triển hài hòa cho học sinh.</w:t>
      </w:r>
    </w:p>
    <w:sectPr>
      <w:headerReference w:type="default" r:id="rId7"/>
      <w:footerReference w:type="default" r:id="rId8"/>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3D0" w:sz="4" w:space="4"/>
      </w:pBdr>
      <w:jc w:val="center"/>
    </w:pPr>
    <w:r>
      <w:rPr>
        <w:rFonts w:ascii="Times New Roman" w:cs="Times New Roman" w:eastAsia="Times New Roman" w:hAnsi="Times New Roman"/>
        <w:i/>
        <w:iCs/>
        <w:color w:val="808080"/>
        <w:sz w:val="18"/>
        <w:szCs w:val="18"/>
      </w:rPr>
      <w:t xml:space="preserve">Bài tập Chương 1 – Môn Lý luận và Phương pháp dạy học Tin học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6"/>
        <w:szCs w:val="26"/>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120" w:line="312"/>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40" w:line="312"/>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200" w:line="312"/>
    </w:pPr>
    <w:rPr>
      <w:rFonts w:ascii="Times New Roman" w:cs="Times New Roman" w:eastAsia="Times New Roman" w:hAnsi="Times New Roman"/>
      <w:b/>
      <w:bCs/>
      <w:color w:val="000000"/>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Chương 1 - LL &amp; PPDH Tin học</dc:title>
  <dc:creator>Sinh viên</dc:creator>
  <cp:lastModifiedBy>Un-named</cp:lastModifiedBy>
  <cp:revision>1</cp:revision>
  <dcterms:created xsi:type="dcterms:W3CDTF">2026-09-07T17:01:14.914Z</dcterms:created>
  <dcterms:modified xsi:type="dcterms:W3CDTF">2026-09-07T17:01:14.915Z</dcterms:modified>
</cp:coreProperties>
</file>

<file path=docProps/custom.xml><?xml version="1.0" encoding="utf-8"?>
<Properties xmlns="http://schemas.openxmlformats.org/officeDocument/2006/custom-properties" xmlns:vt="http://schemas.openxmlformats.org/officeDocument/2006/docPropsVTypes"/>
</file>