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12"/>
        <w:jc w:val="center"/>
      </w:pPr>
      <w:r>
        <w:rPr>
          <w:rFonts w:ascii="Times New Roman" w:cs="Times New Roman" w:eastAsia="Times New Roman" w:hAnsi="Times New Roman"/>
          <w:b/>
          <w:bCs/>
          <w:color w:val="1F3864"/>
          <w:sz w:val="26"/>
          <w:szCs w:val="26"/>
        </w:rPr>
        <w:t xml:space="preserve">BÀI TẬP CHƯƠNG 1</w:t>
      </w:r>
    </w:p>
    <w:p>
      <w:pPr>
        <w:spacing w:after="60" w:line="312"/>
        <w:jc w:val="center"/>
      </w:pPr>
      <w:r>
        <w:rPr>
          <w:rFonts w:ascii="Times New Roman" w:cs="Times New Roman" w:eastAsia="Times New Roman" w:hAnsi="Times New Roman"/>
          <w:color w:val="000000"/>
          <w:sz w:val="24"/>
          <w:szCs w:val="24"/>
        </w:rPr>
        <w:t xml:space="preserve">Môn học: Lý luận và Phương pháp dạy học Tin học</w:t>
      </w:r>
    </w:p>
    <w:p>
      <w:pPr>
        <w:spacing w:after="120" w:line="312"/>
        <w:jc w:val="center"/>
      </w:pPr>
      <w:r>
        <w:rPr>
          <w:rFonts w:ascii="Times New Roman" w:cs="Times New Roman" w:eastAsia="Times New Roman" w:hAnsi="Times New Roman"/>
          <w:color w:val="000000"/>
          <w:sz w:val="24"/>
          <w:szCs w:val="24"/>
        </w:rPr>
        <w:t xml:space="preserve">Sinh viên thực hiện: ..................................................      Lớp: ..............................</w:t>
      </w:r>
    </w:p>
    <w:p>
      <w:pPr>
        <w:pBdr>
          <w:bottom w:val="single" w:color="1F3864" w:sz="8" w:space="2"/>
        </w:pBdr>
        <w:spacing w:after="240"/>
      </w:pPr>
    </w:p>
    <w:p>
      <w:pPr>
        <w:pStyle w:val="Heading1"/>
        <w:keepNext/>
        <w:spacing w:after="200" w:before="60" w:line="312"/>
        <w:jc w:val="center"/>
      </w:pPr>
      <w:r>
        <w:rPr>
          <w:rFonts w:ascii="Times New Roman" w:cs="Times New Roman" w:eastAsia="Times New Roman" w:hAnsi="Times New Roman"/>
          <w:b/>
          <w:bCs/>
          <w:color w:val="000000"/>
          <w:sz w:val="32"/>
          <w:szCs w:val="32"/>
        </w:rPr>
        <w:t xml:space="preserve">CÂU 4. CHỨNG MINH TÍNH KHOA HỌC CỦA LL &amp; PPDH TIN HỌC QUA BỐN TIÊU CHÍ VÀ SO SÁNH VỚI GIÁO DỤC HỌC ĐẠI CƯƠNG</w:t>
      </w:r>
    </w:p>
    <w:tbl>
      <w:tblPr>
        <w:tblW w:type="pct" w:w="100%"/>
        <w:tblBorders>
          <w:top w:val="none" w:color="FFFFFF" w:sz="0"/>
          <w:left w:val="single" w:color="1F3864" w:sz="24"/>
          <w:bottom w:val="none" w:color="FFFFFF" w:sz="0"/>
          <w:right w:val="none" w:color="FFFFFF" w:sz="0"/>
          <w:insideH w:val="none" w:color="FFFFFF" w:sz="0"/>
          <w:insideV w:val="none" w:color="FFFFFF" w:sz="0"/>
        </w:tblBorders>
      </w:tblPr>
      <w:tblGrid>
        <w:gridCol w:w="100"/>
      </w:tblGrid>
      <w:tr>
        <w:trPr>
          <w:cantSplit/>
        </w:trPr>
        <w:tc>
          <w:tcPr>
            <w:tcW w:type="pct" w:w="100%"/>
            <w:shd w:fill="F2F5F9" w:val="clear"/>
            <w:tcMar>
              <w:top w:type="dxa" w:w="140"/>
              <w:left w:type="dxa" w:w="220"/>
              <w:bottom w:type="dxa" w:w="140"/>
              <w:right w:type="dxa" w:w="220"/>
            </w:tcMar>
          </w:tcPr>
          <w:p>
            <w:pPr>
              <w:spacing w:line="312"/>
              <w:jc w:val="both"/>
            </w:pPr>
            <w:r>
              <w:rPr>
                <w:rFonts w:ascii="Times New Roman" w:cs="Times New Roman" w:eastAsia="Times New Roman" w:hAnsi="Times New Roman"/>
                <w:b/>
                <w:bCs/>
                <w:color w:val="1F3864"/>
                <w:sz w:val="26"/>
                <w:szCs w:val="26"/>
              </w:rPr>
              <w:t xml:space="preserve">Đề bài:  </w:t>
            </w:r>
            <w:r>
              <w:rPr>
                <w:rFonts w:ascii="Times New Roman" w:cs="Times New Roman" w:eastAsia="Times New Roman" w:hAnsi="Times New Roman"/>
                <w:i/>
                <w:iCs/>
                <w:color w:val="000000"/>
                <w:sz w:val="26"/>
                <w:szCs w:val="26"/>
              </w:rPr>
              <w:t xml:space="preserve">Chứng minh tính khoa học của LL &amp; PPDH Tin học thông qua các tiêu chí: đối tượng nghiên cứu, hệ thống lý thuyết, phương pháp nghiên cứu và khả năng kiểm chứng. So sánh với Giáo dục học đại cương để thấy rõ nét đặc thù.</w:t>
            </w:r>
          </w:p>
        </w:tc>
      </w:tr>
    </w:tbl>
    <w:p>
      <w:pPr>
        <w:spacing w:after="120"/>
      </w:pPr>
    </w:p>
    <w:p>
      <w:pPr>
        <w:pStyle w:val="Heading2"/>
        <w:keepNext/>
        <w:spacing w:after="120" w:before="240" w:line="312"/>
        <w:jc w:val="left"/>
      </w:pPr>
      <w:r>
        <w:rPr>
          <w:rFonts w:ascii="Times New Roman" w:cs="Times New Roman" w:eastAsia="Times New Roman" w:hAnsi="Times New Roman"/>
          <w:b/>
          <w:bCs/>
          <w:color w:val="000000"/>
          <w:sz w:val="28"/>
          <w:szCs w:val="28"/>
        </w:rPr>
        <w:t xml:space="preserve">1. Khái quát chung</w:t>
      </w:r>
    </w:p>
    <w:p>
      <w:pPr>
        <w:keepNext w:val="false"/>
        <w:keepLines w:val="false"/>
        <w:spacing w:after="12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Một lĩnh vực chỉ được công nhận là một khoa học độc lập khi thỏa mãn đầy đủ các tiêu chí cơ bản: có đối tượng nghiên cứu xác định và riêng biệt; có hệ thống lý thuyết khoa học riêng; có phương pháp nghiên cứu khoa học chặt chẽ; có khả năng dự báo và kiểm chứng; đồng thời kiến thức được tổ chức có tính hệ thống và tính kế thừa. Theo giáo trình, LL &amp; PPDH Tin học được khẳng định là một lĩnh vực khoa học độc lập dựa trên đúng các căn cứ đó, với nền tảng phương pháp luận là Triết học duy vật biện chứng. Trong bài này, tôi lần lượt chứng minh tính khoa học của bộ môn qua bốn tiêu chí được nêu trong đề bài — đối tượng nghiên cứu, hệ thống lý thuyết, phương pháp nghiên cứu và khả năng kiểm chứng — sau đó so sánh với Giáo dục học đại cương để làm rõ nét đặc thù của bộ môn.</w:t>
      </w:r>
    </w:p>
    <w:p>
      <w:pPr>
        <w:pStyle w:val="Heading2"/>
        <w:keepNext/>
        <w:spacing w:after="120" w:before="240" w:line="312"/>
        <w:jc w:val="left"/>
      </w:pPr>
      <w:r>
        <w:rPr>
          <w:rFonts w:ascii="Times New Roman" w:cs="Times New Roman" w:eastAsia="Times New Roman" w:hAnsi="Times New Roman"/>
          <w:b/>
          <w:bCs/>
          <w:color w:val="000000"/>
          <w:sz w:val="28"/>
          <w:szCs w:val="28"/>
        </w:rPr>
        <w:t xml:space="preserve">2. Chứng minh tính khoa học của LL &amp; PPDH Tin học qua bốn tiêu chí</w:t>
      </w:r>
    </w:p>
    <w:p>
      <w:pPr>
        <w:pStyle w:val="Heading3"/>
        <w:keepNext/>
        <w:spacing w:after="100" w:before="200" w:line="312"/>
        <w:jc w:val="left"/>
      </w:pPr>
      <w:r>
        <w:rPr>
          <w:rFonts w:ascii="Times New Roman" w:cs="Times New Roman" w:eastAsia="Times New Roman" w:hAnsi="Times New Roman"/>
          <w:b/>
          <w:bCs/>
          <w:color w:val="000000"/>
          <w:sz w:val="26"/>
          <w:szCs w:val="26"/>
        </w:rPr>
        <w:t xml:space="preserve">2.1. Tiêu chí thứ nhất: Có đối tượng nghiên cứu xác định</w:t>
      </w:r>
    </w:p>
    <w:p>
      <w:pPr>
        <w:keepNext w:val="false"/>
        <w:keepLines w:val="false"/>
        <w:spacing w:after="12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LL &amp; PPDH Tin học có đối tượng nghiên cứu riêng biệt và rõ ràng: quá trình dạy học môn Tin học trong nhà trường, với tất cả các thành tố cấu thành của nó. Đối tượng này bao gồm bộ ba cốt lõi Mục tiêu – Nội dung – Phương pháp (trong đó mục tiêu giữ vai trò chủ đạo, quy định nội dung và chi phối phương pháp), các thành tố bổ sung như phương tiện – môi trường dạy học và kiểm tra – đánh giá, cùng hai chủ thể giáo viên – học sinh với các mối quan hệ sư phạm đa dạng. Đối tượng này tồn tại khách quan trong thực tiễn giáo dục và có những quy luật vận động đặc thù, nhờ đó phân biệt rõ với đối tượng của Giáo dục học đại cương (nghiên cứu quá trình giáo dục nói chung) và của khoa học Tin học thuần túy (nghiên cứu công cụ, hệ thống thông tin). Thêm vào đó, LL &amp; PPDH Tin học xác định được các khía cạnh nghiên cứu cụ thể: các thành tố của quá trình dạy học Tin học và mối quan hệ giữa chúng; hoạt động nhận thức của học sinh (sự hình thành tư duy thuật toán, tư duy tin học, tư duy máy tính); hoạt động sư phạm của giáo viên Tin học; mối quan hệ tương tác giáo viên – học sinh – nội dung tin học; và những mối liên hệ có tính quy luật, khách quan, lặp lại giữa các thành phần của quá trình dạy học. Một lĩnh vực mà đối tượng nghiên cứu được xác định rõ đến mức như vậy hoàn toàn đáp ứng tiêu chí đầu tiên của một khoa học.</w:t>
      </w:r>
    </w:p>
    <w:p>
      <w:pPr>
        <w:pStyle w:val="Heading3"/>
        <w:keepNext/>
        <w:spacing w:after="100" w:before="200" w:line="312"/>
        <w:jc w:val="left"/>
      </w:pPr>
      <w:r>
        <w:rPr>
          <w:rFonts w:ascii="Times New Roman" w:cs="Times New Roman" w:eastAsia="Times New Roman" w:hAnsi="Times New Roman"/>
          <w:b/>
          <w:bCs/>
          <w:color w:val="000000"/>
          <w:sz w:val="26"/>
          <w:szCs w:val="26"/>
        </w:rPr>
        <w:t xml:space="preserve">2.2. Tiêu chí thứ hai: Có hệ thống lý thuyết khoa học</w:t>
      </w:r>
    </w:p>
    <w:p>
      <w:pPr>
        <w:keepNext w:val="false"/>
        <w:keepLines w:val="false"/>
        <w:spacing w:after="12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LL &amp; PPDH Tin học đã hình thành được hệ thống lý thuyết khoa học gồm các khái niệm, phạm trù, nguyên lý, quy luật được thiết lập trên cơ sở nghiên cứu và tổng kết thực tiễn. Đây không phải là tập hợp kinh nghiệm rời rạc mà là hệ thống tri thức được tổ chức chặt chẽ, có tính logic và tính kế thừa. Bằng chứng cụ thể là bộ môn đã xác lập được những quy luật khách quan của quá trình dạy học Tin học, chẳng hạn: quy luật về mối liên hệ tất yếu giữa mục tiêu, nội dung và phương pháp dạy học; quy luật về sự phù hợp giữa phương pháp với đặc điểm tâm lý lứa tuổi của học sinh; quy luật về vai trò quyết định của hoạt động thực hành trong việc hình thành kỹ năng tin học. Về phương pháp luận, toàn bộ hệ thống lý thuyết này được đặt trên nền tảng Triết học duy vật biện chứng: xem xét các hiện tượng dạy học trong mối quan hệ tác động qua lại; nghiên cứu quá trình dạy học trong sự vận động và phát triển; thừa nhận thực tiễn là tiêu chuẩn của chân lý; và nhận diện các cặp mâu thuẫn (giữa yêu cầu dạy học với khả năng của học sinh, giữa nội dung cần dạy với thời gian có hạn, giữa tính khoa học với tính phổ thông) như động lực thúc đẩy quá trình dạy học phát triển. Sự hiện diện của một hệ thống khái niệm, quy luật và cơ sở phương pháp luận như vậy chính là dấu hiệu của một lý thuyết khoa học thực thụ, không phải kinh nghiệm thủ công.</w:t>
      </w:r>
    </w:p>
    <w:p>
      <w:pPr>
        <w:pStyle w:val="Heading3"/>
        <w:keepNext/>
        <w:spacing w:after="100" w:before="200" w:line="312"/>
        <w:jc w:val="left"/>
      </w:pPr>
      <w:r>
        <w:rPr>
          <w:rFonts w:ascii="Times New Roman" w:cs="Times New Roman" w:eastAsia="Times New Roman" w:hAnsi="Times New Roman"/>
          <w:b/>
          <w:bCs/>
          <w:color w:val="000000"/>
          <w:sz w:val="26"/>
          <w:szCs w:val="26"/>
        </w:rPr>
        <w:t xml:space="preserve">2.3. Tiêu chí thứ ba: Có phương pháp nghiên cứu khoa học</w:t>
      </w:r>
    </w:p>
    <w:p>
      <w:pPr>
        <w:keepNext w:val="false"/>
        <w:keepLines w:val="false"/>
        <w:spacing w:after="12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LL &amp; PPDH Tin học sử dụng một hệ thống phương pháp nghiên cứu đa dạng và chặt chẽ, bao gồm ba nhóm. Thứ nhất là nhóm phương pháp lý luận, gồm phân tích – tổng hợp (phân tích chương trình, sách giáo khoa, bài giảng, sai lầm phổ biến của học sinh; tổng hợp quan điểm lý thuyết thành hệ thống, rút ra quy luật chung), so sánh – đối chiếu (theo không gian, theo thời gian, theo cấp học, và đối chiếu lý thuyết với thực tiễn), mô hình hóa (xây dựng mô hình quá trình dạy học, mô hình năng lực tin học, các mô hình bài học 5E, ADDIE, lớp học đảo ngược) và lịch sử – logic. Thứ hai là nhóm phương pháp thực nghiệm, gồm quan sát sư phạm, điều tra (phiếu hỏi, phỏng vấn, khảo sát trực tuyến), tổng kết kinh nghiệm, thực nghiệm sư phạm, phương pháp chuyên gia (Delphi) và nghiên cứu sản phẩm học sinh. Thứ ba là phương pháp thống kê toán học, với thống kê mô tả (trung bình, trung vị, độ lệch chuẩn, phân bố tần suất) và thống kê suy diễn (t-test, ANOVA, kiểm định Chi-square, phân tích tương quan và hồi quy), có các công cụ hỗ trợ như SPSS, Excel, R, Python. Việc vận dụng các phương pháp này tuân theo các nguyên tắc phương pháp luận — khách quan, toàn diện, lịch sử – cụ thể, hệ thống — và nguyên tắc “tam giác hóa” (triangulation): không có phương pháp nào tuyệt đối, cần kết hợp nhiều phương pháp để chúng bổ sung, kiểm chứng lẫn nhau, tăng độ tin cậy của kết quả. Một lĩnh vực có công cụ nghiên cứu chuyên dụng đến như vậy xứng đáng được xem là khoa học.</w:t>
      </w:r>
    </w:p>
    <w:p>
      <w:pPr>
        <w:pStyle w:val="Heading3"/>
        <w:keepNext/>
        <w:spacing w:after="100" w:before="200" w:line="312"/>
        <w:jc w:val="left"/>
      </w:pPr>
      <w:r>
        <w:rPr>
          <w:rFonts w:ascii="Times New Roman" w:cs="Times New Roman" w:eastAsia="Times New Roman" w:hAnsi="Times New Roman"/>
          <w:b/>
          <w:bCs/>
          <w:color w:val="000000"/>
          <w:sz w:val="26"/>
          <w:szCs w:val="26"/>
        </w:rPr>
        <w:t xml:space="preserve">2.4. Tiêu chí thứ tư: Có khả năng dự báo và kiểm chứng</w:t>
      </w:r>
    </w:p>
    <w:p>
      <w:pPr>
        <w:keepNext w:val="false"/>
        <w:keepLines w:val="false"/>
        <w:spacing w:after="12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Dựa trên các quy luật và lý thuyết đã xây dựng, LL &amp; PPDH Tin học có khả năng dự báo kết quả của quá trình dạy học và đề xuất các giải pháp cải tiến; quan trọng hơn, các giả thuyết khoa học của bộ môn đều có thể được kiểm chứng thông qua thực nghiệm sư phạm. Giáo trình mô tả quy trình thực nghiệm sư phạm đầy đủ bảy bước: (1) xác định vấn đề và giả thuyết; (2) thiết kế — xác định biến số (biến độc lập là phương pháp dạy học, biến phụ thuộc là kết quả học tập), chọn lớp thực nghiệm và lớp đối chứng tương đương; (3) đánh giá trước thực nghiệm (pre-test); (4) triển khai — lớp thực nghiệm dùng phương pháp mới, lớp đối chứng dùng phương pháp truyền thống; (5) đánh giá sau thực nghiệm (post-test) bằng cùng công cụ; (6) xử lý và phân tích số liệu bằng các phép kiểm định thống kê như t-test, ANOVA; (7) rút ra kết luận và khuyến nghị áp dụng. Thực nghiệm có tính chủ động, có kiểm soát biến số, có thể lặp lại và có đo lường định lượng — nhờ đó kết luận thu được mang độ tin cậy cao, phát hiện rõ quan hệ nhân quả. Khả năng kiểm chứng này chính là đặc trưng quan trọng nhất phân biệt khoa học với kinh nghiệm: kinh nghiệm chỉ mô tả “cách làm đã thành công”, còn khoa học phải chứng minh được “vì sao thành công và áp dụng trong điều kiện nào thì hiệu quả”.</w:t>
      </w:r>
    </w:p>
    <w:p>
      <w:pPr>
        <w:keepNext w:val="false"/>
        <w:keepLines w:val="false"/>
        <w:spacing w:after="16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Ngoài bốn tiêu chí trên, tính khoa học của bộ môn còn được củng cố bởi hai căn cứ bổ sung: tính hệ thống và tính kế thừa (kiến thức được tổ thành hệ logic chặt chẽ, không ngừng phát triển trên nền các thành tựu nghiên cứu trước và tiếp thu kinh nghiệm giáo dục tin học quốc tế), cùng các đặc điểm của một khoa học hiện đại như tính liên ngành cao, tính ứng dụng và tính đổi mới liên tục đặc thù của lĩnh vực Tin học.</w:t>
      </w:r>
    </w:p>
    <w:p>
      <w:pPr>
        <w:pStyle w:val="Heading2"/>
        <w:keepNext/>
        <w:spacing w:after="120" w:before="240" w:line="312"/>
        <w:jc w:val="left"/>
      </w:pPr>
      <w:r>
        <w:rPr>
          <w:rFonts w:ascii="Times New Roman" w:cs="Times New Roman" w:eastAsia="Times New Roman" w:hAnsi="Times New Roman"/>
          <w:b/>
          <w:bCs/>
          <w:color w:val="000000"/>
          <w:sz w:val="28"/>
          <w:szCs w:val="28"/>
        </w:rPr>
        <w:t xml:space="preserve">3. So sánh với Giáo dục học đại cương để thấy rõ nét đặc thù</w:t>
      </w:r>
    </w:p>
    <w:p>
      <w:pPr>
        <w:keepNext/>
        <w:keepLines w:val="false"/>
        <w:spacing w:after="12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Điểm giống nhau cơ bản là cả hai lĩnh vực đều nghiên cứu các hiện tượng giáo dục, cùng đặt trên nền tảng phương pháp luận Triết học duy vật biện chứng, và LL &amp; PPDH Tin học kế thừa, cụ thể hóa các quy luật, nguyên tắc, phương pháp dạy học chung của Giáo dục học (như nguyên tắc trực quan, tích cực, gắn lý thuyết với thực hành). Tuy nhiên, điểm khác biệt căn bản nằm ở phạm vi đối tượng: Giáo dục học đại cương nghiên cứu quá trình giáo dục nói chung với toàn bộ các hình thức và nội dung hoạt động giáo dục, còn LL &amp; PPDH Tin học nghiên cứu một bộ phận cụ thể và đặc thù của quá trình giáo dục — đó là quá trình dạy học môn Tin học. Sự khác biệt đó kéo theo hàng loạt nét đặc thù cụ thể như bảng sau:</w:t>
      </w:r>
    </w:p>
    <w:p>
      <w:pPr>
        <w:keepNext/>
        <w:spacing w:after="100" w:before="160" w:line="312"/>
        <w:jc w:val="center"/>
      </w:pPr>
      <w:r>
        <w:rPr>
          <w:rFonts w:ascii="Times New Roman" w:cs="Times New Roman" w:eastAsia="Times New Roman" w:hAnsi="Times New Roman"/>
          <w:b/>
          <w:bCs/>
          <w:i w:val="false"/>
          <w:iCs w:val="false"/>
          <w:color w:val="1F3864"/>
          <w:sz w:val="24"/>
          <w:szCs w:val="24"/>
        </w:rPr>
        <w:t xml:space="preserve">Bảng 1. So sánh LL &amp; PPDH Tin học với Giáo dục học đại cương</w:t>
      </w:r>
    </w:p>
    <w:tbl>
      <w:tblPr>
        <w:tblW w:type="pct" w:w="100%"/>
        <w:tblBorders>
          <w:top w:val="single" w:color="1F3864" w:sz="8"/>
          <w:left w:val="none" w:color="FFFFFF" w:sz="0"/>
          <w:bottom w:val="single" w:color="1F3864" w:sz="8"/>
          <w:right w:val="none" w:color="FFFFFF" w:sz="0"/>
          <w:insideH w:val="single" w:color="C9D3DE" w:sz="4"/>
          <w:insideV w:val="single" w:color="C9D3DE" w:sz="4"/>
        </w:tblBorders>
      </w:tblPr>
      <w:tblGrid>
        <w:gridCol w:w="100"/>
        <w:gridCol w:w="100"/>
        <w:gridCol w:w="100"/>
      </w:tblGrid>
      <w:tr>
        <w:trPr>
          <w:cantSplit/>
          <w:tblHeader/>
        </w:trPr>
        <w:tc>
          <w:tcPr>
            <w:tcW w:type="pct" w:w="22%"/>
            <w:shd w:fill="E9EFF6" w:val="clear"/>
            <w:tcMar>
              <w:top w:type="dxa" w:w="80"/>
              <w:left w:type="dxa" w:w="120"/>
              <w:bottom w:type="dxa" w:w="80"/>
              <w:right w:type="dxa" w:w="120"/>
            </w:tcMar>
            <w:vAlign w:val="center"/>
          </w:tcPr>
          <w:p>
            <w:pPr>
              <w:spacing w:line="312"/>
              <w:jc w:val="center"/>
            </w:pPr>
            <w:r>
              <w:rPr>
                <w:rFonts w:ascii="Times New Roman" w:cs="Times New Roman" w:eastAsia="Times New Roman" w:hAnsi="Times New Roman"/>
                <w:b/>
                <w:bCs/>
                <w:i w:val="false"/>
                <w:iCs w:val="false"/>
                <w:color w:val="000000"/>
                <w:sz w:val="24"/>
                <w:szCs w:val="24"/>
              </w:rPr>
              <w:t xml:space="preserve">Tiêu chí</w:t>
            </w:r>
          </w:p>
        </w:tc>
        <w:tc>
          <w:tcPr>
            <w:tcW w:type="pct" w:w="37%"/>
            <w:shd w:fill="E9EFF6" w:val="clear"/>
            <w:tcMar>
              <w:top w:type="dxa" w:w="80"/>
              <w:left w:type="dxa" w:w="120"/>
              <w:bottom w:type="dxa" w:w="80"/>
              <w:right w:type="dxa" w:w="120"/>
            </w:tcMar>
            <w:vAlign w:val="center"/>
          </w:tcPr>
          <w:p>
            <w:pPr>
              <w:spacing w:line="312"/>
              <w:jc w:val="center"/>
            </w:pPr>
            <w:r>
              <w:rPr>
                <w:rFonts w:ascii="Times New Roman" w:cs="Times New Roman" w:eastAsia="Times New Roman" w:hAnsi="Times New Roman"/>
                <w:b/>
                <w:bCs/>
                <w:i w:val="false"/>
                <w:iCs w:val="false"/>
                <w:color w:val="000000"/>
                <w:sz w:val="24"/>
                <w:szCs w:val="24"/>
              </w:rPr>
              <w:t xml:space="preserve">Giáo dục học đại cương</w:t>
            </w:r>
          </w:p>
        </w:tc>
        <w:tc>
          <w:tcPr>
            <w:tcW w:type="pct" w:w="41%"/>
            <w:shd w:fill="E9EFF6" w:val="clear"/>
            <w:tcMar>
              <w:top w:type="dxa" w:w="80"/>
              <w:left w:type="dxa" w:w="120"/>
              <w:bottom w:type="dxa" w:w="80"/>
              <w:right w:type="dxa" w:w="120"/>
            </w:tcMar>
            <w:vAlign w:val="center"/>
          </w:tcPr>
          <w:p>
            <w:pPr>
              <w:spacing w:line="312"/>
              <w:jc w:val="center"/>
            </w:pPr>
            <w:r>
              <w:rPr>
                <w:rFonts w:ascii="Times New Roman" w:cs="Times New Roman" w:eastAsia="Times New Roman" w:hAnsi="Times New Roman"/>
                <w:b/>
                <w:bCs/>
                <w:i w:val="false"/>
                <w:iCs w:val="false"/>
                <w:color w:val="000000"/>
                <w:sz w:val="24"/>
                <w:szCs w:val="24"/>
              </w:rPr>
              <w:t xml:space="preserve">LL &amp; PPDH Tin học</w:t>
            </w:r>
          </w:p>
        </w:tc>
      </w:tr>
      <w:tr>
        <w:trPr>
          <w:cantSplit/>
        </w:trPr>
        <w:tc>
          <w:tcPr>
            <w:tcW w:type="pct" w:w="22%"/>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Phạm vi đối tượng</w:t>
            </w:r>
          </w:p>
        </w:tc>
        <w:tc>
          <w:tcPr>
            <w:tcW w:type="pct" w:w="37%"/>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Quá trình giáo dục nói chung, toàn bộ các hình thức và nội dung hoạt động giáo dục</w:t>
            </w:r>
          </w:p>
        </w:tc>
        <w:tc>
          <w:tcPr>
            <w:tcW w:type="pct" w:w="41%"/>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Bộ phận cụ thể, đặc thù: quá trình dạy học môn Tin học trong nhà trường</w:t>
            </w:r>
          </w:p>
        </w:tc>
      </w:tr>
      <w:tr>
        <w:trPr>
          <w:cantSplit/>
        </w:trPr>
        <w:tc>
          <w:tcPr>
            <w:tcW w:type="pct" w:w="22%"/>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Nội dung nghiên cứu tiêu biểu</w:t>
            </w:r>
          </w:p>
        </w:tc>
        <w:tc>
          <w:tcPr>
            <w:tcW w:type="pct" w:w="37%"/>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Quy luật, nguyên tắc, phương pháp dạy học chung cho mọi môn học</w:t>
            </w:r>
          </w:p>
        </w:tc>
        <w:tc>
          <w:tcPr>
            <w:tcW w:type="pct" w:w="41%"/>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Ba trụ cột DL – ICT – CS; sư phạm hóa kiến thức Tin học; hình thành tư duy máy tính</w:t>
            </w:r>
          </w:p>
        </w:tc>
      </w:tr>
      <w:tr>
        <w:trPr>
          <w:cantSplit/>
        </w:trPr>
        <w:tc>
          <w:tcPr>
            <w:tcW w:type="pct" w:w="22%"/>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Vai trò của máy tính, công nghệ</w:t>
            </w:r>
          </w:p>
        </w:tc>
        <w:tc>
          <w:tcPr>
            <w:tcW w:type="pct" w:w="37%"/>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Chỉ là một phương tiện trợ giáo trong số nhiều phương tiện</w:t>
            </w:r>
          </w:p>
        </w:tc>
        <w:tc>
          <w:tcPr>
            <w:tcW w:type="pct" w:w="41%"/>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Máy tính, phần mềm, phòng máy, nền tảng trực tuyến là điều kiện gần như bắt buộc, giữ vai trò trung tâm trong cả dạy lẫn học</w:t>
            </w:r>
          </w:p>
        </w:tc>
      </w:tr>
      <w:tr>
        <w:trPr>
          <w:cantSplit/>
        </w:trPr>
        <w:tc>
          <w:tcPr>
            <w:tcW w:type="pct" w:w="22%"/>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Quan hệ lý thuyết – thực hành</w:t>
            </w:r>
          </w:p>
        </w:tc>
        <w:tc>
          <w:tcPr>
            <w:tcW w:type="pct" w:w="37%"/>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Không có mối gắn bó đặc thù giữa lý thuyết và thực hành bằng máy tính</w:t>
            </w:r>
          </w:p>
        </w:tc>
        <w:tc>
          <w:tcPr>
            <w:tcW w:type="pct" w:w="41%"/>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Kết hợp chặt chẽ, không thể tách rời giữa lý thuyết và thực hành</w:t>
            </w:r>
          </w:p>
        </w:tc>
      </w:tr>
      <w:tr>
        <w:trPr>
          <w:cantSplit/>
        </w:trPr>
        <w:tc>
          <w:tcPr>
            <w:tcW w:type="pct" w:w="22%"/>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Nhịp độ đổi mới</w:t>
            </w:r>
          </w:p>
        </w:tc>
        <w:tc>
          <w:tcPr>
            <w:tcW w:type="pct" w:w="37%"/>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Tương đối ổn định theo thời gian</w:t>
            </w:r>
          </w:p>
        </w:tc>
        <w:tc>
          <w:tcPr>
            <w:tcW w:type="pct" w:w="41%"/>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Đổi mới liên tục theo sự phát triển của công nghệ (ngôn ngữ lập trình mới, AI, IoT…), vừa là thách thức vừa là nét đặc sắc</w:t>
            </w:r>
          </w:p>
        </w:tc>
      </w:tr>
      <w:tr>
        <w:trPr>
          <w:cantSplit/>
        </w:trPr>
        <w:tc>
          <w:tcPr>
            <w:tcW w:type="pct" w:w="22%"/>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Quan hệ liên ngành</w:t>
            </w:r>
          </w:p>
        </w:tc>
        <w:tc>
          <w:tcPr>
            <w:tcW w:type="pct" w:w="37%"/>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Giáo dục học, Tâm lý học, Triết học, Xã hội học</w:t>
            </w:r>
          </w:p>
        </w:tc>
        <w:tc>
          <w:tcPr>
            <w:tcW w:type="pct" w:w="41%"/>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Ngoài các khoa học trên còn gắn chặt với Khoa học Tin học, Toán học, Logic học</w:t>
            </w:r>
          </w:p>
        </w:tc>
      </w:tr>
      <w:tr>
        <w:trPr>
          <w:cantSplit/>
        </w:trPr>
        <w:tc>
          <w:tcPr>
            <w:tcW w:type="pct" w:w="22%"/>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Mục tiêu giáo dục đặc thù</w:t>
            </w:r>
          </w:p>
        </w:tc>
        <w:tc>
          <w:tcPr>
            <w:tcW w:type="pct" w:w="37%"/>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Phát triển nhân cách toàn diện trên phạm vi chung</w:t>
            </w:r>
          </w:p>
        </w:tc>
        <w:tc>
          <w:tcPr>
            <w:tcW w:type="pct" w:w="41%"/>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Thêm mục tiêu đặc thù: hình thành tư duy máy tính (computational thinking) và năng lực số</w:t>
            </w:r>
          </w:p>
        </w:tc>
      </w:tr>
    </w:tbl>
    <w:p>
      <w:pPr>
        <w:spacing w:after="120"/>
      </w:pPr>
    </w:p>
    <w:p>
      <w:pPr>
        <w:keepNext w:val="false"/>
        <w:keepLines w:val="false"/>
        <w:spacing w:after="16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Từ bảng so sánh có thể rút ra nét đặc thù lớn nhất của LL &amp; PPDH Tin học so với Giáo dục học đại cương: đó là tính đặc thù của môn học gắn với công nghệ — vai trò trung tâm của máy tính và công nghệ trong cả việc học lẫn việc dạy, sự kết hợp không thể tách rời giữa lý thuyết và thực hành, và việc hình thành tư duy máy tính như một mục tiêu giáo dục riêng. Đồng thời, do Tin học là lĩnh vực thay đổi nhanh chóng nhất trong các môn học phổ thông, LL &amp; PPDH Tin học phải không ngừng cập nhật nội dung và phương pháp — đây chính là nét khiến bộ môn vừa mang tính khoa học nghiêm ngặt, vừa mang tính ứng dụng và tính mở cao hơn hẳn so với các lý luận dạy học đại cương.</w:t>
      </w:r>
    </w:p>
    <w:p>
      <w:pPr>
        <w:pStyle w:val="Heading2"/>
        <w:keepNext/>
        <w:spacing w:after="120" w:before="240" w:line="312"/>
        <w:jc w:val="left"/>
      </w:pPr>
      <w:r>
        <w:rPr>
          <w:rFonts w:ascii="Times New Roman" w:cs="Times New Roman" w:eastAsia="Times New Roman" w:hAnsi="Times New Roman"/>
          <w:b/>
          <w:bCs/>
          <w:color w:val="000000"/>
          <w:sz w:val="28"/>
          <w:szCs w:val="28"/>
        </w:rPr>
        <w:t xml:space="preserve">4. Kết luận</w:t>
      </w:r>
    </w:p>
    <w:p>
      <w:pPr>
        <w:keepNext w:val="false"/>
        <w:keepLines w:val="false"/>
        <w:spacing w:after="12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Qua bốn tiêu chí đã chứng minh — đối tượng nghiên cứu xác định (quá trình dạy học môn Tin học), hệ thống lý thuyết đầy đủ khái niệm và quy luật trên nền phương pháp luận biện chứng, hệ thống phương pháp nghiên cứu ba nhóm với nguyên tắc tam giác hóa, và khả năng dự báo – kiểm chứng bằng thực nghiệm sư phạm — có thể khẳng định LL &amp; PPDH Tin học là một lĩnh vực khoa học độc lập, chứ không đơn thuần là sự tích lũy kinh nghiệm dạy học. Đồng thời, việc so sánh với Giáo dục học đại cương cho thấy bộ môn vừa là “ngành khoa học con” thuộc hệ thống khoa học giáo dục, vừa có bản sắc riêng rõ rệt nhờ tính đặc thù của môn Tin học. Với tư cách sinh viên sư phạm, hiểu đúng tính khoa học này giúp tôi học tập bộ môn một cách nghiêm túc, biết vận dụng phương pháp nghiên cứu khoa học vào giải quyết các vấn đề dạy học thực tiễn và xây dựng tư duy nghề nghiệp đúng đắn ngay từ đầu.</w:t>
      </w:r>
    </w:p>
    <w:sectPr>
      <w:headerReference w:type="default" r:id="rId7"/>
      <w:footerReference w:type="default" r:id="rId8"/>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3D0" w:sz="4" w:space="4"/>
      </w:pBdr>
      <w:jc w:val="center"/>
    </w:pPr>
    <w:r>
      <w:rPr>
        <w:rFonts w:ascii="Times New Roman" w:cs="Times New Roman" w:eastAsia="Times New Roman" w:hAnsi="Times New Roman"/>
        <w:i/>
        <w:iCs/>
        <w:color w:val="808080"/>
        <w:sz w:val="18"/>
        <w:szCs w:val="18"/>
      </w:rPr>
      <w:t xml:space="preserve">Bài tập Chương 1 – Môn Lý luận và Phương pháp dạy học Tin học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6"/>
        <w:szCs w:val="26"/>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120" w:line="312"/>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40" w:line="312"/>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200" w:line="312"/>
    </w:pPr>
    <w:rPr>
      <w:rFonts w:ascii="Times New Roman" w:cs="Times New Roman" w:eastAsia="Times New Roman" w:hAnsi="Times New Roman"/>
      <w:b/>
      <w:bCs/>
      <w:color w:val="000000"/>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Chương 1 - LL &amp; PPDH Tin học</dc:title>
  <dc:creator>Sinh viên</dc:creator>
  <cp:lastModifiedBy>Un-named</cp:lastModifiedBy>
  <cp:revision>1</cp:revision>
  <dcterms:created xsi:type="dcterms:W3CDTF">2026-09-07T17:01:14.737Z</dcterms:created>
  <dcterms:modified xsi:type="dcterms:W3CDTF">2026-09-07T17:01:14.737Z</dcterms:modified>
</cp:coreProperties>
</file>

<file path=docProps/custom.xml><?xml version="1.0" encoding="utf-8"?>
<Properties xmlns="http://schemas.openxmlformats.org/officeDocument/2006/custom-properties" xmlns:vt="http://schemas.openxmlformats.org/officeDocument/2006/docPropsVTypes"/>
</file>