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color w:val="1F3864"/>
          <w:sz w:val="26"/>
          <w:szCs w:val="26"/>
        </w:rPr>
        <w:t xml:space="preserve">CÂU HỎI VÀ BÀI TẬP CHƯƠNG 2</w:t>
      </w:r>
    </w:p>
    <w:p>
      <w:pPr>
        <w:spacing w:after="60" w:line="312"/>
        <w:jc w:val="center"/>
      </w:pPr>
      <w:r>
        <w:rPr>
          <w:rFonts w:ascii="Times New Roman" w:cs="Times New Roman" w:eastAsia="Times New Roman" w:hAnsi="Times New Roman"/>
          <w:color w:val="000000"/>
          <w:sz w:val="24"/>
          <w:szCs w:val="24"/>
        </w:rPr>
        <w:t xml:space="preserve">Môn học: Lý luận và Phương pháp dạy học Tin học</w:t>
      </w:r>
    </w:p>
    <w:p>
      <w:pPr>
        <w:spacing w:after="120" w:line="312"/>
        <w:jc w:val="center"/>
      </w:pPr>
      <w:r>
        <w:rPr>
          <w:rFonts w:ascii="Times New Roman" w:cs="Times New Roman" w:eastAsia="Times New Roman" w:hAnsi="Times New Roman"/>
          <w:color w:val="000000"/>
          <w:sz w:val="24"/>
          <w:szCs w:val="24"/>
        </w:rPr>
        <w:t xml:space="preserve">Sinh viên thực hiện: ..................................................      Lớp: ..............................</w:t>
      </w:r>
    </w:p>
    <w:p>
      <w:pPr>
        <w:pBdr>
          <w:bottom w:val="single" w:color="1F3864" w:sz="8" w:space="2"/>
        </w:pBdr>
        <w:spacing w:after="240"/>
      </w:pPr>
    </w:p>
    <w:p>
      <w:pPr>
        <w:pStyle w:val="Heading1"/>
        <w:keepNext/>
        <w:spacing w:after="200" w:before="60" w:line="312"/>
        <w:jc w:val="center"/>
      </w:pPr>
      <w:r>
        <w:rPr>
          <w:rFonts w:ascii="Times New Roman" w:cs="Times New Roman" w:eastAsia="Times New Roman" w:hAnsi="Times New Roman"/>
          <w:b/>
          <w:bCs/>
          <w:color w:val="000000"/>
          <w:sz w:val="32"/>
          <w:szCs w:val="32"/>
        </w:rPr>
        <w:t xml:space="preserve">BÀI TẬP 1. PHÂN TÍCH SỰ PHÁT TRIỂN CỦA CÁC MẠCH NỘI DUNG THEO NGUYÊN TẮC ĐỒNG TÂM – XOẮN ỐC</w:t>
      </w:r>
    </w:p>
    <w:tbl>
      <w:tblPr>
        <w:tblW w:type="pct" w:w="100%"/>
        <w:tblBorders>
          <w:top w:val="none" w:color="FFFFFF" w:sz="0"/>
          <w:left w:val="single" w:color="1F3864" w:sz="24"/>
          <w:bottom w:val="none" w:color="FFFFFF" w:sz="0"/>
          <w:right w:val="none" w:color="FFFFFF" w:sz="0"/>
          <w:insideH w:val="none" w:color="FFFFFF" w:sz="0"/>
          <w:insideV w:val="none" w:color="FFFFFF" w:sz="0"/>
        </w:tblBorders>
      </w:tblPr>
      <w:tblGrid>
        <w:gridCol w:w="100"/>
      </w:tblGrid>
      <w:tr>
        <w:trPr>
          <w:cantSplit/>
        </w:trPr>
        <w:tc>
          <w:tcPr>
            <w:tcW w:type="pct" w:w="100%"/>
            <w:shd w:fill="F2F5F9" w:val="clear"/>
            <w:tcMar>
              <w:top w:type="dxa" w:w="140"/>
              <w:left w:type="dxa" w:w="220"/>
              <w:bottom w:type="dxa" w:w="140"/>
              <w:right w:type="dxa" w:w="220"/>
            </w:tcMar>
          </w:tcPr>
          <w:p>
            <w:pPr>
              <w:spacing w:line="312"/>
              <w:jc w:val="both"/>
            </w:pPr>
            <w:r>
              <w:rPr>
                <w:rFonts w:ascii="Times New Roman" w:cs="Times New Roman" w:eastAsia="Times New Roman" w:hAnsi="Times New Roman"/>
                <w:b/>
                <w:bCs/>
                <w:color w:val="1F3864"/>
                <w:sz w:val="26"/>
                <w:szCs w:val="26"/>
              </w:rPr>
              <w:t xml:space="preserve">Đề bài:  </w:t>
            </w:r>
            <w:r>
              <w:rPr>
                <w:rFonts w:ascii="Times New Roman" w:cs="Times New Roman" w:eastAsia="Times New Roman" w:hAnsi="Times New Roman"/>
                <w:i/>
                <w:iCs/>
                <w:color w:val="000000"/>
                <w:sz w:val="26"/>
                <w:szCs w:val="26"/>
              </w:rPr>
              <w:t xml:space="preserve">Hãy chọn trục chủ đề “Thuật toán và Lập trình” (thuộc chủ đề lớn Giải quyết vấn đề với sự trợ giúp của máy tính) trong Chương trình môn Tin học GDPT 2018. Dựa vào 3 mạch nội dung (DL, ICT, CS) và nguyên tắc phát triển nội dung “đồng tâm – xoắn ốc” được học ở mục 2.4, anh/chị hãy lập bảng hệ thống hóa và phân tích sự tịnh tiến, mở rộng về mức độ Yêu cầu cần đạt của chủ đề này qua 3 cấp học: Tiểu học, THCS và THPT.</w:t>
            </w:r>
          </w:p>
        </w:tc>
      </w:tr>
    </w:tbl>
    <w:p>
      <w:pPr>
        <w:pStyle w:val="Heading2"/>
        <w:keepNext/>
        <w:spacing w:after="100" w:before="180" w:line="312"/>
        <w:jc w:val="left"/>
      </w:pPr>
      <w:r>
        <w:rPr>
          <w:rFonts w:ascii="Times New Roman" w:cs="Times New Roman" w:eastAsia="Times New Roman" w:hAnsi="Times New Roman"/>
          <w:b/>
          <w:bCs/>
          <w:color w:val="000000"/>
          <w:sz w:val="28"/>
          <w:szCs w:val="28"/>
        </w:rPr>
        <w:t xml:space="preserve">1. Bảng hệ thống hóa Yêu cầu cần đạt qua 3 cấp học</w:t>
      </w:r>
    </w:p>
    <w:p>
      <w:pPr>
        <w:keepNext w:val="false"/>
        <w:keepLines w:val="false"/>
        <w:spacing w:after="8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Trục chủ đề “Thuật toán và Lập trình” thuộc chủ đề lớn “Giải quyết vấn đề với sự trợ giúp của máy tính” (mạch CS – mục 2.4.1) và được phát triển xuyên suốt 3 cấp học như sau:</w:t>
      </w:r>
    </w:p>
    <w:p>
      <w:pPr>
        <w:keepNext/>
        <w:spacing w:after="100" w:before="160" w:line="312"/>
        <w:jc w:val="center"/>
      </w:pPr>
      <w:r>
        <w:rPr>
          <w:rFonts w:ascii="Times New Roman" w:cs="Times New Roman" w:eastAsia="Times New Roman" w:hAnsi="Times New Roman"/>
          <w:b/>
          <w:bCs/>
          <w:i w:val="false"/>
          <w:iCs w:val="false"/>
          <w:color w:val="1F3864"/>
          <w:sz w:val="24"/>
          <w:szCs w:val="24"/>
        </w:rPr>
        <w:t xml:space="preserve">Bảng 1. Sự phát triển trục chủ đề “Thuật toán và Lập trình” qua 3 cấp học</w:t>
      </w:r>
    </w:p>
    <w:tbl>
      <w:tblPr>
        <w:tblW w:type="pct" w:w="100%"/>
        <w:tblBorders>
          <w:top w:val="single" w:color="1F3864" w:sz="8"/>
          <w:left w:val="none" w:color="FFFFFF" w:sz="0"/>
          <w:bottom w:val="single" w:color="1F3864" w:sz="8"/>
          <w:right w:val="none" w:color="FFFFFF" w:sz="0"/>
          <w:insideH w:val="single" w:color="C9D3DE" w:sz="4"/>
          <w:insideV w:val="single" w:color="C9D3DE" w:sz="4"/>
        </w:tblBorders>
      </w:tblPr>
      <w:tblGrid>
        <w:gridCol w:w="100"/>
        <w:gridCol w:w="100"/>
        <w:gridCol w:w="100"/>
        <w:gridCol w:w="100"/>
      </w:tblGrid>
      <w:tr>
        <w:trPr>
          <w:cantSplit/>
          <w:tblHeader/>
        </w:trPr>
        <w:tc>
          <w:tcPr>
            <w:tcW w:type="pct" w:w="17%"/>
            <w:shd w:fill="E9EFF6" w:val="clear"/>
            <w:tcMar>
              <w:top w:type="dxa" w:w="64"/>
              <w:left w:type="dxa" w:w="120"/>
              <w:bottom w:type="dxa" w:w="64"/>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Cấp học</w:t>
            </w:r>
          </w:p>
        </w:tc>
        <w:tc>
          <w:tcPr>
            <w:tcW w:type="pct" w:w="40%"/>
            <w:shd w:fill="E9EFF6" w:val="clear"/>
            <w:tcMar>
              <w:top w:type="dxa" w:w="64"/>
              <w:left w:type="dxa" w:w="120"/>
              <w:bottom w:type="dxa" w:w="64"/>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Yêu cầu cần đạt cốt lõi</w:t>
            </w:r>
          </w:p>
        </w:tc>
        <w:tc>
          <w:tcPr>
            <w:tcW w:type="pct" w:w="18%"/>
            <w:shd w:fill="E9EFF6" w:val="clear"/>
            <w:tcMar>
              <w:top w:type="dxa" w:w="64"/>
              <w:left w:type="dxa" w:w="120"/>
              <w:bottom w:type="dxa" w:w="64"/>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Công cụ – ngôn ngữ</w:t>
            </w:r>
          </w:p>
        </w:tc>
        <w:tc>
          <w:tcPr>
            <w:tcW w:type="pct" w:w="25%"/>
            <w:shd w:fill="E9EFF6" w:val="clear"/>
            <w:tcMar>
              <w:top w:type="dxa" w:w="64"/>
              <w:left w:type="dxa" w:w="120"/>
              <w:bottom w:type="dxa" w:w="64"/>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Giai đoạn phát triển (mục 2.4.5)</w:t>
            </w:r>
          </w:p>
        </w:tc>
      </w:tr>
      <w:tr>
        <w:trPr>
          <w:cantSplit/>
        </w:trPr>
        <w:tc>
          <w:tcPr>
            <w:tcW w:type="pct" w:w="17%"/>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bCs/>
                <w:i w:val="false"/>
                <w:iCs w:val="false"/>
                <w:color w:val="000000"/>
                <w:sz w:val="24"/>
                <w:szCs w:val="24"/>
              </w:rPr>
              <w:t xml:space="preserve">Tiểu học</w:t>
            </w:r>
          </w:p>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 (lớp 3 – 5)</w:t>
            </w:r>
          </w:p>
        </w:tc>
        <w:tc>
          <w:tcPr>
            <w:tcW w:type="pct" w:w="40%"/>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Làm quen với “dãy các bước làm một việc”; thực hiện các bước theo tuần tự; điều khiển robot trực quan, tạo chương trình đồ họa đơn giản.</w:t>
            </w:r>
          </w:p>
        </w:tc>
        <w:tc>
          <w:tcPr>
            <w:tcW w:type="pct" w:w="18%"/>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Robot trực quan, Scratch Jr (khối kéo – thả).</w:t>
            </w:r>
          </w:p>
        </w:tc>
        <w:tc>
          <w:tcPr>
            <w:tcW w:type="pct" w:w="25%"/>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Giai đoạn 1 – Làm quen: tư duy cụ thể, học qua trải nghiệm.</w:t>
            </w:r>
          </w:p>
        </w:tc>
      </w:tr>
      <w:tr>
        <w:trPr>
          <w:cantSplit/>
        </w:trPr>
        <w:tc>
          <w:tcPr>
            <w:tcW w:type="pct" w:w="17%"/>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bCs/>
                <w:i w:val="false"/>
                <w:iCs w:val="false"/>
                <w:color w:val="000000"/>
                <w:sz w:val="24"/>
                <w:szCs w:val="24"/>
              </w:rPr>
              <w:t xml:space="preserve">THCS</w:t>
            </w:r>
          </w:p>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 (lớp 6 – 9)</w:t>
            </w:r>
          </w:p>
        </w:tc>
        <w:tc>
          <w:tcPr>
            <w:tcW w:type="pct" w:w="40%"/>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Hiểu khái niệm thuật toán; biểu diễn bằng lưu đồ; thuật toán tuần tự, rẽ nhánh, lặp; cài đặt hàm tìm kiếm tuyến tính, sắp xếp nổi bọt.</w:t>
            </w:r>
          </w:p>
        </w:tc>
        <w:tc>
          <w:tcPr>
            <w:tcW w:type="pct" w:w="18%"/>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Scratch, chuyển sang Python ở lớp 8 – 9.</w:t>
            </w:r>
          </w:p>
        </w:tc>
        <w:tc>
          <w:tcPr>
            <w:tcW w:type="pct" w:w="25%"/>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Giai đoạn 2 – Hình thành → Giai đoạn 3 – Phát triển: tư duy bán trừu tượng → tư duy thuật toán, lập trình thực sự.</w:t>
            </w:r>
          </w:p>
        </w:tc>
      </w:tr>
      <w:tr>
        <w:trPr>
          <w:cantSplit/>
        </w:trPr>
        <w:tc>
          <w:tcPr>
            <w:tcW w:type="pct" w:w="17%"/>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bCs/>
                <w:i w:val="false"/>
                <w:iCs w:val="false"/>
                <w:color w:val="000000"/>
                <w:sz w:val="24"/>
                <w:szCs w:val="24"/>
              </w:rPr>
              <w:t xml:space="preserve">THPT</w:t>
            </w:r>
          </w:p>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 (lớp 10 – 12, định hướng CS)</w:t>
            </w:r>
          </w:p>
        </w:tc>
        <w:tc>
          <w:tcPr>
            <w:tcW w:type="pct" w:w="40%"/>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Lập trình vạn năng dạng văn bản (Python/C++); cấu trúc dữ liệu mảng, xâu; sắp xếp nâng cao, tìm kiếm nhị phân; đánh giá độ phức tạp thuật toán.</w:t>
            </w:r>
          </w:p>
        </w:tc>
        <w:tc>
          <w:tcPr>
            <w:tcW w:type="pct" w:w="18%"/>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Python, C++.</w:t>
            </w:r>
          </w:p>
        </w:tc>
        <w:tc>
          <w:tcPr>
            <w:tcW w:type="pct" w:w="25%"/>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Giai đoạn 4 – Chuyên sâu: tư duy trừu tượng; thiết kế hệ thống.</w:t>
            </w:r>
          </w:p>
        </w:tc>
      </w:tr>
    </w:tbl>
    <w:p>
      <w:pPr>
        <w:spacing w:after="120"/>
      </w:pPr>
    </w:p>
    <w:p>
      <w:pPr>
        <w:pStyle w:val="Heading2"/>
        <w:keepNext/>
        <w:spacing w:after="100" w:before="180" w:line="312"/>
        <w:jc w:val="left"/>
      </w:pPr>
      <w:r>
        <w:rPr>
          <w:rFonts w:ascii="Times New Roman" w:cs="Times New Roman" w:eastAsia="Times New Roman" w:hAnsi="Times New Roman"/>
          <w:b/>
          <w:bCs/>
          <w:color w:val="000000"/>
          <w:sz w:val="28"/>
          <w:szCs w:val="28"/>
        </w:rPr>
        <w:t xml:space="preserve">2. Phân tích tính “Đồng tâm”</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Ở cả 3 cấp, chủ đề luôn quay lại cùng một lõi tri thức là tư duy thuật toán: các bước tuần tự, dữ liệu (biến), cấu trúc điều khiển (rẽ nhánh, lặp). Chủ đề không bị bỏ lại mà được quay lại đào sâu dần, bảo đảm tính liên thông, không trùng lặp nội dung.</w:t>
      </w:r>
    </w:p>
    <w:p>
      <w:pPr>
        <w:pStyle w:val="Heading2"/>
        <w:keepNext/>
        <w:spacing w:after="100" w:before="180" w:line="312"/>
        <w:jc w:val="left"/>
      </w:pPr>
      <w:r>
        <w:rPr>
          <w:rFonts w:ascii="Times New Roman" w:cs="Times New Roman" w:eastAsia="Times New Roman" w:hAnsi="Times New Roman"/>
          <w:b/>
          <w:bCs/>
          <w:color w:val="000000"/>
          <w:sz w:val="28"/>
          <w:szCs w:val="28"/>
        </w:rPr>
        <w:t xml:space="preserve">3. Phân tích tính “Xoắn ốc”</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Mỗi vòng quay lại, mức Yêu cầu cần đạt tăng theo 3 bậc: làm quen trực quan (Tiểu học) → hình thành khái niệm, biểu diễn (THCS) → cài đặt và đánh giá (THPT). Công cụ chuyển từ khối kéo – thả sang mã lệnh ký tự; độ phức tạp bài toán tăng dần – phù hợp tiến trình nhận thức của học sinh.</w:t>
      </w:r>
    </w:p>
    <w:p>
      <w:pPr>
        <w:pStyle w:val="Heading2"/>
        <w:keepNext/>
        <w:spacing w:after="100" w:before="180" w:line="312"/>
        <w:jc w:val="left"/>
      </w:pPr>
      <w:r>
        <w:rPr>
          <w:rFonts w:ascii="Times New Roman" w:cs="Times New Roman" w:eastAsia="Times New Roman" w:hAnsi="Times New Roman"/>
          <w:b/>
          <w:bCs/>
          <w:color w:val="000000"/>
          <w:sz w:val="28"/>
          <w:szCs w:val="28"/>
        </w:rPr>
        <w:t xml:space="preserve">4. Ý nghĩa sư phạm</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Nắm vững logic đồng tâm – xoắn ốc giúp giáo viên xác định đúng “vị trí” của mỗi bài dạy: tránh dạy trùng lặp kiến thức cấp dưới hoặc vượt quá tiến trình nhận thức của học sinh.</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jc w:val="center"/>
    </w:pPr>
    <w:r>
      <w:rPr>
        <w:rFonts w:ascii="Times New Roman" w:cs="Times New Roman" w:eastAsia="Times New Roman" w:hAnsi="Times New Roman"/>
        <w:i/>
        <w:iCs/>
        <w:color w:val="808080"/>
        <w:sz w:val="18"/>
        <w:szCs w:val="18"/>
      </w:rPr>
      <w:t xml:space="preserve">Bài tập Chương 2 – Môn Lý luận và Phương pháp dạy học Tin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120" w:line="312"/>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12"/>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line="31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1 Chương 2 - LL &amp; PPDH Tin học</dc:title>
  <dc:creator>Sinh viên</dc:creator>
  <cp:lastModifiedBy>Un-named</cp:lastModifiedBy>
  <cp:revision>1</cp:revision>
  <dcterms:created xsi:type="dcterms:W3CDTF">2026-09-15T04:18:45.821Z</dcterms:created>
  <dcterms:modified xsi:type="dcterms:W3CDTF">2026-09-15T04:18:45.821Z</dcterms:modified>
</cp:coreProperties>
</file>

<file path=docProps/custom.xml><?xml version="1.0" encoding="utf-8"?>
<Properties xmlns="http://schemas.openxmlformats.org/officeDocument/2006/custom-properties" xmlns:vt="http://schemas.openxmlformats.org/officeDocument/2006/docPropsVTypes"/>
</file>