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line="312"/>
        <w:jc w:val="center"/>
      </w:pPr>
      <w:r>
        <w:rPr>
          <w:rFonts w:ascii="Times New Roman" w:cs="Times New Roman" w:eastAsia="Times New Roman" w:hAnsi="Times New Roman"/>
          <w:b/>
          <w:bCs/>
          <w:color w:val="1F3864"/>
          <w:sz w:val="26"/>
          <w:szCs w:val="26"/>
        </w:rPr>
        <w:t xml:space="preserve">CÂU HỎI VÀ BÀI TẬP CHƯƠNG 2</w:t>
      </w:r>
    </w:p>
    <w:p>
      <w:pPr>
        <w:spacing w:after="60" w:line="312"/>
        <w:jc w:val="center"/>
      </w:pPr>
      <w:r>
        <w:rPr>
          <w:rFonts w:ascii="Times New Roman" w:cs="Times New Roman" w:eastAsia="Times New Roman" w:hAnsi="Times New Roman"/>
          <w:color w:val="000000"/>
          <w:sz w:val="24"/>
          <w:szCs w:val="24"/>
        </w:rPr>
        <w:t xml:space="preserve">Môn học: Lý luận và Phương pháp dạy học Tin học</w:t>
      </w:r>
    </w:p>
    <w:p>
      <w:pPr>
        <w:spacing w:after="120" w:line="312"/>
        <w:jc w:val="center"/>
      </w:pPr>
      <w:r>
        <w:rPr>
          <w:rFonts w:ascii="Times New Roman" w:cs="Times New Roman" w:eastAsia="Times New Roman" w:hAnsi="Times New Roman"/>
          <w:color w:val="000000"/>
          <w:sz w:val="24"/>
          <w:szCs w:val="24"/>
        </w:rPr>
        <w:t xml:space="preserve">Sinh viên thực hiện: ..................................................      Lớp: ..............................</w:t>
      </w:r>
    </w:p>
    <w:p>
      <w:pPr>
        <w:pBdr>
          <w:bottom w:val="single" w:color="1F3864" w:sz="8" w:space="2"/>
        </w:pBdr>
        <w:spacing w:after="240"/>
      </w:pPr>
    </w:p>
    <w:p>
      <w:pPr>
        <w:pStyle w:val="Heading1"/>
        <w:keepNext/>
        <w:spacing w:after="200" w:before="60" w:line="312"/>
        <w:jc w:val="center"/>
      </w:pPr>
      <w:r>
        <w:rPr>
          <w:rFonts w:ascii="Times New Roman" w:cs="Times New Roman" w:eastAsia="Times New Roman" w:hAnsi="Times New Roman"/>
          <w:b/>
          <w:bCs/>
          <w:color w:val="000000"/>
          <w:sz w:val="32"/>
          <w:szCs w:val="32"/>
        </w:rPr>
        <w:t xml:space="preserve">BÀI TẬP 1. PHÂN TÍCH SỰ PHÁT TRIỂN CỦA TRỤC CHỦ ĐỀ “THUẬT TOÁN VÀ LẬP TRÌNH” THEO NGUYÊN TẮC ĐỒNG TÂM – XOẮN ỐC</w:t>
      </w:r>
    </w:p>
    <w:tbl>
      <w:tblPr>
        <w:tblW w:type="pct" w:w="100%"/>
        <w:tblBorders>
          <w:top w:val="none" w:color="FFFFFF" w:sz="0"/>
          <w:left w:val="single" w:color="1F3864" w:sz="24"/>
          <w:bottom w:val="none" w:color="FFFFFF" w:sz="0"/>
          <w:right w:val="none" w:color="FFFFFF" w:sz="0"/>
          <w:insideH w:val="none" w:color="FFFFFF" w:sz="0"/>
          <w:insideV w:val="none" w:color="FFFFFF" w:sz="0"/>
        </w:tblBorders>
      </w:tblPr>
      <w:tblGrid>
        <w:gridCol w:w="100"/>
      </w:tblGrid>
      <w:tr>
        <w:trPr>
          <w:cantSplit/>
        </w:trPr>
        <w:tc>
          <w:tcPr>
            <w:tcW w:type="pct" w:w="100%"/>
            <w:shd w:fill="F2F5F9" w:val="clear"/>
            <w:tcMar>
              <w:top w:type="dxa" w:w="140"/>
              <w:left w:type="dxa" w:w="220"/>
              <w:bottom w:type="dxa" w:w="140"/>
              <w:right w:type="dxa" w:w="220"/>
            </w:tcMar>
          </w:tcPr>
          <w:p>
            <w:pPr>
              <w:spacing w:line="312"/>
              <w:jc w:val="both"/>
            </w:pPr>
            <w:r>
              <w:rPr>
                <w:rFonts w:ascii="Times New Roman" w:cs="Times New Roman" w:eastAsia="Times New Roman" w:hAnsi="Times New Roman"/>
                <w:b/>
                <w:bCs/>
                <w:color w:val="1F3864"/>
                <w:sz w:val="26"/>
                <w:szCs w:val="26"/>
              </w:rPr>
              <w:t xml:space="preserve">Đề bài:  </w:t>
            </w:r>
            <w:r>
              <w:rPr>
                <w:rFonts w:ascii="Times New Roman" w:cs="Times New Roman" w:eastAsia="Times New Roman" w:hAnsi="Times New Roman"/>
                <w:i/>
                <w:iCs/>
                <w:color w:val="000000"/>
                <w:sz w:val="26"/>
                <w:szCs w:val="26"/>
              </w:rPr>
              <w:t xml:space="preserve">Dựa vào nguyên tắc phát triển nội dung “đồng tâm – xoắn ốc” (mục 2.4.5), hãy lập bảng hệ thống hóa và phân tích sự tịnh tiến, mở rộng về mức độ Yêu cầu cần đạt của trục chủ đề “Thuật toán và Lập trình” (mạch CS, Chương trình GDPT 2018) qua 3 cấp học: Tiểu học, THCS và THPT.</w:t>
            </w:r>
          </w:p>
        </w:tc>
      </w:tr>
    </w:tbl>
    <w:p>
      <w:pPr>
        <w:pStyle w:val="Heading2"/>
        <w:keepNext/>
        <w:spacing w:after="100" w:before="180" w:line="312"/>
        <w:jc w:val="left"/>
      </w:pPr>
      <w:r>
        <w:rPr>
          <w:rFonts w:ascii="Times New Roman" w:cs="Times New Roman" w:eastAsia="Times New Roman" w:hAnsi="Times New Roman"/>
          <w:b/>
          <w:bCs/>
          <w:color w:val="000000"/>
          <w:sz w:val="28"/>
          <w:szCs w:val="28"/>
        </w:rPr>
        <w:t xml:space="preserve">1. Bảng hệ thống hóa Yêu cầu cần đạt qua 3 cấp học</w:t>
      </w:r>
    </w:p>
    <w:p>
      <w:pPr>
        <w:keepNext/>
        <w:spacing w:after="100" w:before="160" w:line="312"/>
        <w:jc w:val="center"/>
      </w:pPr>
      <w:r>
        <w:rPr>
          <w:rFonts w:ascii="Times New Roman" w:cs="Times New Roman" w:eastAsia="Times New Roman" w:hAnsi="Times New Roman"/>
          <w:b/>
          <w:bCs/>
          <w:i w:val="false"/>
          <w:iCs w:val="false"/>
          <w:color w:val="1F3864"/>
          <w:sz w:val="24"/>
          <w:szCs w:val="24"/>
        </w:rPr>
        <w:t xml:space="preserve">Bảng 1. Sự phát triển trục chủ đề “Thuật toán và Lập trình” qua 3 cấp học</w:t>
      </w:r>
    </w:p>
    <w:tbl>
      <w:tblPr>
        <w:tblW w:type="pct" w:w="100%"/>
        <w:tblBorders>
          <w:top w:val="single" w:color="1F3864" w:sz="8"/>
          <w:left w:val="none" w:color="FFFFFF" w:sz="0"/>
          <w:bottom w:val="single" w:color="1F3864" w:sz="8"/>
          <w:right w:val="none" w:color="FFFFFF" w:sz="0"/>
          <w:insideH w:val="single" w:color="C9D3DE" w:sz="4"/>
          <w:insideV w:val="single" w:color="C9D3DE" w:sz="4"/>
        </w:tblBorders>
      </w:tblPr>
      <w:tblGrid>
        <w:gridCol w:w="100"/>
        <w:gridCol w:w="100"/>
        <w:gridCol w:w="100"/>
        <w:gridCol w:w="100"/>
      </w:tblGrid>
      <w:tr>
        <w:trPr>
          <w:cantSplit/>
          <w:tblHeader/>
        </w:trPr>
        <w:tc>
          <w:tcPr>
            <w:tcW w:type="pct" w:w="17%"/>
            <w:shd w:fill="E9EFF6" w:val="clear"/>
            <w:tcMar>
              <w:top w:type="dxa" w:w="64"/>
              <w:left w:type="dxa" w:w="120"/>
              <w:bottom w:type="dxa" w:w="64"/>
              <w:right w:type="dxa" w:w="120"/>
            </w:tcMar>
            <w:vAlign w:val="center"/>
          </w:tcPr>
          <w:p>
            <w:pPr>
              <w:spacing w:line="312"/>
              <w:jc w:val="center"/>
            </w:pPr>
            <w:r>
              <w:rPr>
                <w:rFonts w:ascii="Times New Roman" w:cs="Times New Roman" w:eastAsia="Times New Roman" w:hAnsi="Times New Roman"/>
                <w:b/>
                <w:bCs/>
                <w:i w:val="false"/>
                <w:iCs w:val="false"/>
                <w:color w:val="000000"/>
                <w:sz w:val="24"/>
                <w:szCs w:val="24"/>
              </w:rPr>
              <w:t xml:space="preserve">Cấp học</w:t>
            </w:r>
          </w:p>
        </w:tc>
        <w:tc>
          <w:tcPr>
            <w:tcW w:type="pct" w:w="40%"/>
            <w:shd w:fill="E9EFF6" w:val="clear"/>
            <w:tcMar>
              <w:top w:type="dxa" w:w="64"/>
              <w:left w:type="dxa" w:w="120"/>
              <w:bottom w:type="dxa" w:w="64"/>
              <w:right w:type="dxa" w:w="120"/>
            </w:tcMar>
            <w:vAlign w:val="center"/>
          </w:tcPr>
          <w:p>
            <w:pPr>
              <w:spacing w:line="312"/>
              <w:jc w:val="center"/>
            </w:pPr>
            <w:r>
              <w:rPr>
                <w:rFonts w:ascii="Times New Roman" w:cs="Times New Roman" w:eastAsia="Times New Roman" w:hAnsi="Times New Roman"/>
                <w:b/>
                <w:bCs/>
                <w:i w:val="false"/>
                <w:iCs w:val="false"/>
                <w:color w:val="000000"/>
                <w:sz w:val="24"/>
                <w:szCs w:val="24"/>
              </w:rPr>
              <w:t xml:space="preserve">Yêu cầu cần đạt cốt lõi</w:t>
            </w:r>
          </w:p>
        </w:tc>
        <w:tc>
          <w:tcPr>
            <w:tcW w:type="pct" w:w="18%"/>
            <w:shd w:fill="E9EFF6" w:val="clear"/>
            <w:tcMar>
              <w:top w:type="dxa" w:w="64"/>
              <w:left w:type="dxa" w:w="120"/>
              <w:bottom w:type="dxa" w:w="64"/>
              <w:right w:type="dxa" w:w="120"/>
            </w:tcMar>
            <w:vAlign w:val="center"/>
          </w:tcPr>
          <w:p>
            <w:pPr>
              <w:spacing w:line="312"/>
              <w:jc w:val="center"/>
            </w:pPr>
            <w:r>
              <w:rPr>
                <w:rFonts w:ascii="Times New Roman" w:cs="Times New Roman" w:eastAsia="Times New Roman" w:hAnsi="Times New Roman"/>
                <w:b/>
                <w:bCs/>
                <w:i w:val="false"/>
                <w:iCs w:val="false"/>
                <w:color w:val="000000"/>
                <w:sz w:val="24"/>
                <w:szCs w:val="24"/>
              </w:rPr>
              <w:t xml:space="preserve">Công cụ – ngôn ngữ</w:t>
            </w:r>
          </w:p>
        </w:tc>
        <w:tc>
          <w:tcPr>
            <w:tcW w:type="pct" w:w="25%"/>
            <w:shd w:fill="E9EFF6" w:val="clear"/>
            <w:tcMar>
              <w:top w:type="dxa" w:w="64"/>
              <w:left w:type="dxa" w:w="120"/>
              <w:bottom w:type="dxa" w:w="64"/>
              <w:right w:type="dxa" w:w="120"/>
            </w:tcMar>
            <w:vAlign w:val="center"/>
          </w:tcPr>
          <w:p>
            <w:pPr>
              <w:spacing w:line="312"/>
              <w:jc w:val="center"/>
            </w:pPr>
            <w:r>
              <w:rPr>
                <w:rFonts w:ascii="Times New Roman" w:cs="Times New Roman" w:eastAsia="Times New Roman" w:hAnsi="Times New Roman"/>
                <w:b/>
                <w:bCs/>
                <w:i w:val="false"/>
                <w:iCs w:val="false"/>
                <w:color w:val="000000"/>
                <w:sz w:val="24"/>
                <w:szCs w:val="24"/>
              </w:rPr>
              <w:t xml:space="preserve">Giai đoạn phát triển (mục 2.4.5)</w:t>
            </w:r>
          </w:p>
        </w:tc>
      </w:tr>
      <w:tr>
        <w:trPr>
          <w:cantSplit/>
        </w:trPr>
        <w:tc>
          <w:tcPr>
            <w:tcW w:type="pct" w:w="17%"/>
            <w:tcMar>
              <w:top w:type="dxa" w:w="64"/>
              <w:left w:type="dxa" w:w="120"/>
              <w:bottom w:type="dxa" w:w="64"/>
              <w:right w:type="dxa" w:w="120"/>
            </w:tcMar>
            <w:vAlign w:val="center"/>
          </w:tcPr>
          <w:p>
            <w:pPr>
              <w:spacing w:after="20" w:line="312"/>
              <w:jc w:val="left"/>
            </w:pPr>
            <w:r>
              <w:rPr>
                <w:rFonts w:ascii="Times New Roman" w:cs="Times New Roman" w:eastAsia="Times New Roman" w:hAnsi="Times New Roman"/>
                <w:b/>
                <w:bCs/>
                <w:i w:val="false"/>
                <w:iCs w:val="false"/>
                <w:color w:val="000000"/>
                <w:sz w:val="24"/>
                <w:szCs w:val="24"/>
              </w:rPr>
              <w:t xml:space="preserve">Tiểu học</w:t>
            </w:r>
          </w:p>
          <w:p>
            <w:pPr>
              <w:spacing w:after="20" w:line="312"/>
              <w:jc w:val="left"/>
            </w:pPr>
            <w:r>
              <w:rPr>
                <w:rFonts w:ascii="Times New Roman" w:cs="Times New Roman" w:eastAsia="Times New Roman" w:hAnsi="Times New Roman"/>
                <w:b w:val="false"/>
                <w:bCs w:val="false"/>
                <w:i w:val="false"/>
                <w:iCs w:val="false"/>
                <w:color w:val="000000"/>
                <w:sz w:val="24"/>
                <w:szCs w:val="24"/>
              </w:rPr>
              <w:t xml:space="preserve"> (lớp 3 – 5)</w:t>
            </w:r>
          </w:p>
        </w:tc>
        <w:tc>
          <w:tcPr>
            <w:tcW w:type="pct" w:w="40%"/>
            <w:tcMar>
              <w:top w:type="dxa" w:w="64"/>
              <w:left w:type="dxa" w:w="120"/>
              <w:bottom w:type="dxa" w:w="64"/>
              <w:right w:type="dxa" w:w="120"/>
            </w:tcMar>
            <w:vAlign w:val="center"/>
          </w:tcPr>
          <w:p>
            <w:pPr>
              <w:spacing w:after="20" w:line="312"/>
              <w:jc w:val="left"/>
            </w:pPr>
            <w:r>
              <w:rPr>
                <w:rFonts w:ascii="Times New Roman" w:cs="Times New Roman" w:eastAsia="Times New Roman" w:hAnsi="Times New Roman"/>
                <w:b w:val="false"/>
                <w:bCs w:val="false"/>
                <w:i w:val="false"/>
                <w:iCs w:val="false"/>
                <w:color w:val="000000"/>
                <w:sz w:val="24"/>
                <w:szCs w:val="24"/>
              </w:rPr>
              <w:t xml:space="preserve">Làm quen với “dãy các bước làm một việc”; thực hiện các bước theo tuần tự; điều khiển robot trực quan, tạo chương trình đồ họa đơn giản.</w:t>
            </w:r>
          </w:p>
        </w:tc>
        <w:tc>
          <w:tcPr>
            <w:tcW w:type="pct" w:w="18%"/>
            <w:tcMar>
              <w:top w:type="dxa" w:w="64"/>
              <w:left w:type="dxa" w:w="120"/>
              <w:bottom w:type="dxa" w:w="64"/>
              <w:right w:type="dxa" w:w="120"/>
            </w:tcMar>
            <w:vAlign w:val="center"/>
          </w:tcPr>
          <w:p>
            <w:pPr>
              <w:spacing w:after="20" w:line="312"/>
              <w:jc w:val="left"/>
            </w:pPr>
            <w:r>
              <w:rPr>
                <w:rFonts w:ascii="Times New Roman" w:cs="Times New Roman" w:eastAsia="Times New Roman" w:hAnsi="Times New Roman"/>
                <w:b w:val="false"/>
                <w:bCs w:val="false"/>
                <w:i w:val="false"/>
                <w:iCs w:val="false"/>
                <w:color w:val="000000"/>
                <w:sz w:val="24"/>
                <w:szCs w:val="24"/>
              </w:rPr>
              <w:t xml:space="preserve">Robot trực quan, Scratch Jr (khối kéo – thả).</w:t>
            </w:r>
          </w:p>
        </w:tc>
        <w:tc>
          <w:tcPr>
            <w:tcW w:type="pct" w:w="25%"/>
            <w:tcMar>
              <w:top w:type="dxa" w:w="64"/>
              <w:left w:type="dxa" w:w="120"/>
              <w:bottom w:type="dxa" w:w="64"/>
              <w:right w:type="dxa" w:w="120"/>
            </w:tcMar>
            <w:vAlign w:val="center"/>
          </w:tcPr>
          <w:p>
            <w:pPr>
              <w:spacing w:after="20" w:line="312"/>
              <w:jc w:val="left"/>
            </w:pPr>
            <w:r>
              <w:rPr>
                <w:rFonts w:ascii="Times New Roman" w:cs="Times New Roman" w:eastAsia="Times New Roman" w:hAnsi="Times New Roman"/>
                <w:b w:val="false"/>
                <w:bCs w:val="false"/>
                <w:i w:val="false"/>
                <w:iCs w:val="false"/>
                <w:color w:val="000000"/>
                <w:sz w:val="24"/>
                <w:szCs w:val="24"/>
              </w:rPr>
              <w:t xml:space="preserve">Giai đoạn 1 – Làm quen: tư duy cụ thể, học qua trải nghiệm.</w:t>
            </w:r>
          </w:p>
        </w:tc>
      </w:tr>
      <w:tr>
        <w:trPr>
          <w:cantSplit/>
        </w:trPr>
        <w:tc>
          <w:tcPr>
            <w:tcW w:type="pct" w:w="17%"/>
            <w:tcMar>
              <w:top w:type="dxa" w:w="64"/>
              <w:left w:type="dxa" w:w="120"/>
              <w:bottom w:type="dxa" w:w="64"/>
              <w:right w:type="dxa" w:w="120"/>
            </w:tcMar>
            <w:vAlign w:val="center"/>
          </w:tcPr>
          <w:p>
            <w:pPr>
              <w:spacing w:after="20" w:line="312"/>
              <w:jc w:val="left"/>
            </w:pPr>
            <w:r>
              <w:rPr>
                <w:rFonts w:ascii="Times New Roman" w:cs="Times New Roman" w:eastAsia="Times New Roman" w:hAnsi="Times New Roman"/>
                <w:b/>
                <w:bCs/>
                <w:i w:val="false"/>
                <w:iCs w:val="false"/>
                <w:color w:val="000000"/>
                <w:sz w:val="24"/>
                <w:szCs w:val="24"/>
              </w:rPr>
              <w:t xml:space="preserve">THCS</w:t>
            </w:r>
          </w:p>
          <w:p>
            <w:pPr>
              <w:spacing w:after="20" w:line="312"/>
              <w:jc w:val="left"/>
            </w:pPr>
            <w:r>
              <w:rPr>
                <w:rFonts w:ascii="Times New Roman" w:cs="Times New Roman" w:eastAsia="Times New Roman" w:hAnsi="Times New Roman"/>
                <w:b w:val="false"/>
                <w:bCs w:val="false"/>
                <w:i w:val="false"/>
                <w:iCs w:val="false"/>
                <w:color w:val="000000"/>
                <w:sz w:val="24"/>
                <w:szCs w:val="24"/>
              </w:rPr>
              <w:t xml:space="preserve"> (lớp 6 – 9)</w:t>
            </w:r>
          </w:p>
        </w:tc>
        <w:tc>
          <w:tcPr>
            <w:tcW w:type="pct" w:w="40%"/>
            <w:tcMar>
              <w:top w:type="dxa" w:w="64"/>
              <w:left w:type="dxa" w:w="120"/>
              <w:bottom w:type="dxa" w:w="64"/>
              <w:right w:type="dxa" w:w="120"/>
            </w:tcMar>
            <w:vAlign w:val="center"/>
          </w:tcPr>
          <w:p>
            <w:pPr>
              <w:spacing w:after="20" w:line="312"/>
              <w:jc w:val="left"/>
            </w:pPr>
            <w:r>
              <w:rPr>
                <w:rFonts w:ascii="Times New Roman" w:cs="Times New Roman" w:eastAsia="Times New Roman" w:hAnsi="Times New Roman"/>
                <w:b w:val="false"/>
                <w:bCs w:val="false"/>
                <w:i w:val="false"/>
                <w:iCs w:val="false"/>
                <w:color w:val="000000"/>
                <w:sz w:val="24"/>
                <w:szCs w:val="24"/>
              </w:rPr>
              <w:t xml:space="preserve">Hiểu khái niệm thuật toán; biểu diễn bằng lưu đồ; thuật toán tuần tự, rẽ nhánh, lặp; cài đặt hàm tìm kiếm tuyến tính, sắp xếp nổi bọt.</w:t>
            </w:r>
          </w:p>
        </w:tc>
        <w:tc>
          <w:tcPr>
            <w:tcW w:type="pct" w:w="18%"/>
            <w:tcMar>
              <w:top w:type="dxa" w:w="64"/>
              <w:left w:type="dxa" w:w="120"/>
              <w:bottom w:type="dxa" w:w="64"/>
              <w:right w:type="dxa" w:w="120"/>
            </w:tcMar>
            <w:vAlign w:val="center"/>
          </w:tcPr>
          <w:p>
            <w:pPr>
              <w:spacing w:after="20" w:line="312"/>
              <w:jc w:val="left"/>
            </w:pPr>
            <w:r>
              <w:rPr>
                <w:rFonts w:ascii="Times New Roman" w:cs="Times New Roman" w:eastAsia="Times New Roman" w:hAnsi="Times New Roman"/>
                <w:b w:val="false"/>
                <w:bCs w:val="false"/>
                <w:i w:val="false"/>
                <w:iCs w:val="false"/>
                <w:color w:val="000000"/>
                <w:sz w:val="24"/>
                <w:szCs w:val="24"/>
              </w:rPr>
              <w:t xml:space="preserve">Scratch, chuyển sang Python ở lớp 8 – 9.</w:t>
            </w:r>
          </w:p>
        </w:tc>
        <w:tc>
          <w:tcPr>
            <w:tcW w:type="pct" w:w="25%"/>
            <w:tcMar>
              <w:top w:type="dxa" w:w="64"/>
              <w:left w:type="dxa" w:w="120"/>
              <w:bottom w:type="dxa" w:w="64"/>
              <w:right w:type="dxa" w:w="120"/>
            </w:tcMar>
            <w:vAlign w:val="center"/>
          </w:tcPr>
          <w:p>
            <w:pPr>
              <w:spacing w:after="20" w:line="312"/>
              <w:jc w:val="left"/>
            </w:pPr>
            <w:r>
              <w:rPr>
                <w:rFonts w:ascii="Times New Roman" w:cs="Times New Roman" w:eastAsia="Times New Roman" w:hAnsi="Times New Roman"/>
                <w:b w:val="false"/>
                <w:bCs w:val="false"/>
                <w:i w:val="false"/>
                <w:iCs w:val="false"/>
                <w:color w:val="000000"/>
                <w:sz w:val="24"/>
                <w:szCs w:val="24"/>
              </w:rPr>
              <w:t xml:space="preserve">Giai đoạn 2 – 3: tư duy bán trừu tượng → tư duy thuật toán, lập trình thực sự.</w:t>
            </w:r>
          </w:p>
        </w:tc>
      </w:tr>
      <w:tr>
        <w:trPr>
          <w:cantSplit/>
        </w:trPr>
        <w:tc>
          <w:tcPr>
            <w:tcW w:type="pct" w:w="17%"/>
            <w:tcMar>
              <w:top w:type="dxa" w:w="64"/>
              <w:left w:type="dxa" w:w="120"/>
              <w:bottom w:type="dxa" w:w="64"/>
              <w:right w:type="dxa" w:w="120"/>
            </w:tcMar>
            <w:vAlign w:val="center"/>
          </w:tcPr>
          <w:p>
            <w:pPr>
              <w:spacing w:after="20" w:line="312"/>
              <w:jc w:val="left"/>
            </w:pPr>
            <w:r>
              <w:rPr>
                <w:rFonts w:ascii="Times New Roman" w:cs="Times New Roman" w:eastAsia="Times New Roman" w:hAnsi="Times New Roman"/>
                <w:b/>
                <w:bCs/>
                <w:i w:val="false"/>
                <w:iCs w:val="false"/>
                <w:color w:val="000000"/>
                <w:sz w:val="24"/>
                <w:szCs w:val="24"/>
              </w:rPr>
              <w:t xml:space="preserve">THPT</w:t>
            </w:r>
          </w:p>
          <w:p>
            <w:pPr>
              <w:spacing w:after="20" w:line="312"/>
              <w:jc w:val="left"/>
            </w:pPr>
            <w:r>
              <w:rPr>
                <w:rFonts w:ascii="Times New Roman" w:cs="Times New Roman" w:eastAsia="Times New Roman" w:hAnsi="Times New Roman"/>
                <w:b w:val="false"/>
                <w:bCs w:val="false"/>
                <w:i w:val="false"/>
                <w:iCs w:val="false"/>
                <w:color w:val="000000"/>
                <w:sz w:val="24"/>
                <w:szCs w:val="24"/>
              </w:rPr>
              <w:t xml:space="preserve"> (lớp 10 – 12, định hướng CS)</w:t>
            </w:r>
          </w:p>
        </w:tc>
        <w:tc>
          <w:tcPr>
            <w:tcW w:type="pct" w:w="40%"/>
            <w:tcMar>
              <w:top w:type="dxa" w:w="64"/>
              <w:left w:type="dxa" w:w="120"/>
              <w:bottom w:type="dxa" w:w="64"/>
              <w:right w:type="dxa" w:w="120"/>
            </w:tcMar>
            <w:vAlign w:val="center"/>
          </w:tcPr>
          <w:p>
            <w:pPr>
              <w:spacing w:after="20" w:line="312"/>
              <w:jc w:val="left"/>
            </w:pPr>
            <w:r>
              <w:rPr>
                <w:rFonts w:ascii="Times New Roman" w:cs="Times New Roman" w:eastAsia="Times New Roman" w:hAnsi="Times New Roman"/>
                <w:b w:val="false"/>
                <w:bCs w:val="false"/>
                <w:i w:val="false"/>
                <w:iCs w:val="false"/>
                <w:color w:val="000000"/>
                <w:sz w:val="24"/>
                <w:szCs w:val="24"/>
              </w:rPr>
              <w:t xml:space="preserve">Lập trình văn bản (Python/C++); cấu trúc dữ liệu mảng, xâu; sắp xếp nâng cao, tìm kiếm nhị phân; đánh giá độ phức tạp thuật toán.</w:t>
            </w:r>
          </w:p>
        </w:tc>
        <w:tc>
          <w:tcPr>
            <w:tcW w:type="pct" w:w="18%"/>
            <w:tcMar>
              <w:top w:type="dxa" w:w="64"/>
              <w:left w:type="dxa" w:w="120"/>
              <w:bottom w:type="dxa" w:w="64"/>
              <w:right w:type="dxa" w:w="120"/>
            </w:tcMar>
            <w:vAlign w:val="center"/>
          </w:tcPr>
          <w:p>
            <w:pPr>
              <w:spacing w:after="20" w:line="312"/>
              <w:jc w:val="left"/>
            </w:pPr>
            <w:r>
              <w:rPr>
                <w:rFonts w:ascii="Times New Roman" w:cs="Times New Roman" w:eastAsia="Times New Roman" w:hAnsi="Times New Roman"/>
                <w:b w:val="false"/>
                <w:bCs w:val="false"/>
                <w:i w:val="false"/>
                <w:iCs w:val="false"/>
                <w:color w:val="000000"/>
                <w:sz w:val="24"/>
                <w:szCs w:val="24"/>
              </w:rPr>
              <w:t xml:space="preserve">Python, C++.</w:t>
            </w:r>
          </w:p>
        </w:tc>
        <w:tc>
          <w:tcPr>
            <w:tcW w:type="pct" w:w="25%"/>
            <w:tcMar>
              <w:top w:type="dxa" w:w="64"/>
              <w:left w:type="dxa" w:w="120"/>
              <w:bottom w:type="dxa" w:w="64"/>
              <w:right w:type="dxa" w:w="120"/>
            </w:tcMar>
            <w:vAlign w:val="center"/>
          </w:tcPr>
          <w:p>
            <w:pPr>
              <w:spacing w:after="20" w:line="312"/>
              <w:jc w:val="left"/>
            </w:pPr>
            <w:r>
              <w:rPr>
                <w:rFonts w:ascii="Times New Roman" w:cs="Times New Roman" w:eastAsia="Times New Roman" w:hAnsi="Times New Roman"/>
                <w:b w:val="false"/>
                <w:bCs w:val="false"/>
                <w:i w:val="false"/>
                <w:iCs w:val="false"/>
                <w:color w:val="000000"/>
                <w:sz w:val="24"/>
                <w:szCs w:val="24"/>
              </w:rPr>
              <w:t xml:space="preserve">Giai đoạn 4 – Chuyên sâu: tư duy trừu tượng, thiết kế và đánh giá.</w:t>
            </w:r>
          </w:p>
        </w:tc>
      </w:tr>
    </w:tbl>
    <w:p>
      <w:pPr>
        <w:spacing w:after="120"/>
      </w:pPr>
    </w:p>
    <w:p>
      <w:pPr>
        <w:pStyle w:val="Heading2"/>
        <w:keepNext/>
        <w:spacing w:after="100" w:before="180" w:line="312"/>
        <w:jc w:val="left"/>
      </w:pPr>
      <w:r>
        <w:rPr>
          <w:rFonts w:ascii="Times New Roman" w:cs="Times New Roman" w:eastAsia="Times New Roman" w:hAnsi="Times New Roman"/>
          <w:b/>
          <w:bCs/>
          <w:color w:val="000000"/>
          <w:sz w:val="28"/>
          <w:szCs w:val="28"/>
        </w:rPr>
        <w:t xml:space="preserve">2. Phân tích tính “Đồng tâm”</w:t>
      </w:r>
    </w:p>
    <w:p>
      <w:pPr>
        <w:keepNext w:val="false"/>
        <w:keepLines w:val="false"/>
        <w:spacing w:after="120" w:before="0" w:line="312"/>
        <w:ind w:firstLine="567"/>
        <w:jc w:val="both"/>
      </w:pPr>
      <w:r>
        <w:rPr>
          <w:rFonts w:ascii="Times New Roman" w:cs="Times New Roman" w:eastAsia="Times New Roman" w:hAnsi="Times New Roman"/>
          <w:b w:val="false"/>
          <w:bCs w:val="false"/>
          <w:i w:val="false"/>
          <w:iCs w:val="false"/>
          <w:color w:val="000000"/>
          <w:sz w:val="26"/>
          <w:szCs w:val="26"/>
        </w:rPr>
        <w:t xml:space="preserve">Ở cả 3 cấp, chủ đề luôn quay lại cùng một lõi tri thức là tư duy thuật toán: các bước tuần tự, dữ liệu (biến), cấu trúc điều khiển (rẽ nhánh, lặp). Chủ đề không bị bỏ lại mà được quay lại đào sâu dần, bảo đảm tính liên thông, không trùng lặp nội dung.</w:t>
      </w:r>
    </w:p>
    <w:p>
      <w:pPr>
        <w:pStyle w:val="Heading2"/>
        <w:keepNext/>
        <w:spacing w:after="100" w:before="180" w:line="312"/>
        <w:jc w:val="left"/>
      </w:pPr>
      <w:r>
        <w:rPr>
          <w:rFonts w:ascii="Times New Roman" w:cs="Times New Roman" w:eastAsia="Times New Roman" w:hAnsi="Times New Roman"/>
          <w:b/>
          <w:bCs/>
          <w:color w:val="000000"/>
          <w:sz w:val="28"/>
          <w:szCs w:val="28"/>
        </w:rPr>
        <w:t xml:space="preserve">3. Phân tích tính “Xoắn ốc”</w:t>
      </w:r>
    </w:p>
    <w:p>
      <w:pPr>
        <w:keepNext w:val="false"/>
        <w:keepLines w:val="false"/>
        <w:spacing w:after="120" w:before="0" w:line="312"/>
        <w:ind w:firstLine="567"/>
        <w:jc w:val="both"/>
      </w:pPr>
      <w:r>
        <w:rPr>
          <w:rFonts w:ascii="Times New Roman" w:cs="Times New Roman" w:eastAsia="Times New Roman" w:hAnsi="Times New Roman"/>
          <w:b w:val="false"/>
          <w:bCs w:val="false"/>
          <w:i w:val="false"/>
          <w:iCs w:val="false"/>
          <w:color w:val="000000"/>
          <w:sz w:val="26"/>
          <w:szCs w:val="26"/>
        </w:rPr>
        <w:t xml:space="preserve">Mỗi vòng quay lại, mức Yêu cầu cần đạt tăng theo 3 bậc: làm quen trực quan (Tiểu học) → hình thành khái niệm, biểu diễn (THCS) → cài đặt và đánh giá (THPT). Công cụ chuyển từ khối kéo – thả sang mã lệnh ký tự; độ phức tạp bài toán tăng dần – phù hợp tiến trình nhận thức của học sinh.</w:t>
      </w:r>
    </w:p>
    <w:p>
      <w:pPr>
        <w:pStyle w:val="Heading2"/>
        <w:keepNext/>
        <w:spacing w:after="100" w:before="180" w:line="312"/>
        <w:jc w:val="left"/>
      </w:pPr>
      <w:r>
        <w:rPr>
          <w:rFonts w:ascii="Times New Roman" w:cs="Times New Roman" w:eastAsia="Times New Roman" w:hAnsi="Times New Roman"/>
          <w:b/>
          <w:bCs/>
          <w:color w:val="000000"/>
          <w:sz w:val="28"/>
          <w:szCs w:val="28"/>
        </w:rPr>
        <w:t xml:space="preserve">4. Ý nghĩa sư phạm</w:t>
      </w:r>
    </w:p>
    <w:p>
      <w:pPr>
        <w:keepNext w:val="false"/>
        <w:keepLines w:val="false"/>
        <w:spacing w:after="120" w:before="0" w:line="312"/>
        <w:ind w:firstLine="567"/>
        <w:jc w:val="both"/>
      </w:pPr>
      <w:r>
        <w:rPr>
          <w:rFonts w:ascii="Times New Roman" w:cs="Times New Roman" w:eastAsia="Times New Roman" w:hAnsi="Times New Roman"/>
          <w:b w:val="false"/>
          <w:bCs w:val="false"/>
          <w:i w:val="false"/>
          <w:iCs w:val="false"/>
          <w:color w:val="000000"/>
          <w:sz w:val="26"/>
          <w:szCs w:val="26"/>
        </w:rPr>
        <w:t xml:space="preserve">Nắm vững logic đồng tâm – xoắn ốc giúp giáo viên xác định đúng “vị trí” của mỗi bài dạy: tránh dạy trùng lặp kiến thức cấp dưới hoặc vượt quá tiến trình nhận thức của học sinh.</w:t>
      </w:r>
    </w:p>
    <w:sectPr>
      <w:headerReference w:type="default" r:id="rId7"/>
      <w:footerReference w:type="default" r:id="rId8"/>
      <w:pgSz w:w="11906" w:h="16838" w:orient="portrait"/>
      <w:pgMar w:top="1440" w:right="1417" w:bottom="1440"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7C3D0" w:sz="4" w:space="4"/>
      </w:pBdr>
      <w:jc w:val="center"/>
    </w:pPr>
    <w:r>
      <w:rPr>
        <w:rFonts w:ascii="Times New Roman" w:cs="Times New Roman" w:eastAsia="Times New Roman" w:hAnsi="Times New Roman"/>
        <w:i/>
        <w:iCs/>
        <w:color w:val="808080"/>
        <w:sz w:val="18"/>
        <w:szCs w:val="18"/>
      </w:rPr>
      <w:t xml:space="preserve">Bài tập Chương 2 – Môn Lý luận và Phương pháp dạy học Tin học</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6"/>
        <w:szCs w:val="26"/>
      </w:rPr>
    </w:rPrDefault>
    <w:pPrDefault>
      <w:pPr>
        <w:spacing w:line="312"/>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120" w:line="312"/>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spacing w:after="120" w:before="240" w:line="312"/>
    </w:pPr>
    <w:rPr>
      <w:rFonts w:ascii="Times New Roman" w:cs="Times New Roman" w:eastAsia="Times New Roman" w:hAnsi="Times New Roman"/>
      <w:b/>
      <w:bCs/>
      <w:color w:val="000000"/>
      <w:sz w:val="28"/>
      <w:szCs w:val="28"/>
    </w:rPr>
  </w:style>
  <w:style w:type="paragraph" w:styleId="Heading3">
    <w:name w:val="Heading 3"/>
    <w:basedOn w:val="Normal"/>
    <w:next w:val="Normal"/>
    <w:qFormat/>
    <w:pPr>
      <w:spacing w:after="100" w:before="200" w:line="312"/>
    </w:pPr>
    <w:rPr>
      <w:rFonts w:ascii="Times New Roman" w:cs="Times New Roman" w:eastAsia="Times New Roman" w:hAnsi="Times New Roman"/>
      <w:b/>
      <w:bCs/>
      <w:color w:val="000000"/>
      <w:sz w:val="26"/>
      <w:szCs w:val="2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Bài tập 1 Chương 2 - LL &amp; PPDH Tin học</dc:title>
  <dc:creator>Sinh viên</dc:creator>
  <cp:lastModifiedBy>Un-named</cp:lastModifiedBy>
  <cp:revision>1</cp:revision>
  <dcterms:created xsi:type="dcterms:W3CDTF">2026-09-15T03:51:08.203Z</dcterms:created>
  <dcterms:modified xsi:type="dcterms:W3CDTF">2026-09-15T03:51:08.204Z</dcterms:modified>
</cp:coreProperties>
</file>

<file path=docProps/custom.xml><?xml version="1.0" encoding="utf-8"?>
<Properties xmlns="http://schemas.openxmlformats.org/officeDocument/2006/custom-properties" xmlns:vt="http://schemas.openxmlformats.org/officeDocument/2006/docPropsVTypes"/>
</file>