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Ứng dụng Machine Learning trong cơ chế Honeytoken thích nghi cho bảo vệ cơ sở dữ liệu</w:t>
      </w:r>
    </w:p>
    <w:p>
      <w:pPr>
        <w:spacing w:after="240"/>
      </w:pPr>
      <w:r>
        <w:t>Phương pháp và kết quả  |  Demo A SDV/HMA làm mốc đánh giá  |  Demo B Random Forest là nội dung chính</w:t>
      </w:r>
    </w:p>
    <w:p>
      <w:r>
        <w:t>Đồ án tập trung vào Demo B: ứng dụng Random Forest để chấm điểm rủi ro phòng ban, chọn vị trí honeytoken thích nghi và phân tích cảnh báo hành vi. Demo A dùng SDV/HMA làm phương pháp tham chiếu để đánh giá. Để so sánh vị trí công bằng, A và B dùng chung nội dung honeytoken HMA; khác biệt chính là cách chọn phòng ban. Kết quả hiện có cho thấy B có nhiều phiên truy vấn mục tiêu chạm token hơn trong bộ thử nghiệm lab này, còn phép kiểm tra ID mới nhất bị bão hòa ở cả hai phương pháp.</w:t>
      </w:r>
    </w:p>
    <w:p>
      <w:pPr>
        <w:pStyle w:val="Heading1"/>
      </w:pPr>
      <w:r>
        <w:t>1. Kết luận chính</w:t>
      </w:r>
    </w:p>
    <w:p>
      <w:r>
        <w:t>Demo A là phương pháp đối chứng theo hướng bài báo: SDV HMASynthesizer học cấu trúc/phân bố dữ liệu nhiều bảng và sinh các dòng employee liên kết với salary, dept_emp, dept_manager và title; vị trí phòng ban giữ theo quan hệ HMA sinh ra. Demo B là phần chính của đồ án: dùng cùng candidate HMA để giữ nội dung/budget cố định, nhưng Random Forest học từ telemetry để chấm điểm rủi ro, phân bổ token vào phòng ban rủi ro cao, đồng thời phân loại hành vi truy vấn để phát hiện/cảnh báo. Random Forest không sinh trường dữ liệu nhân viên; HMA vẫn sinh nội dung token.</w:t>
      </w:r>
    </w:p>
    <w:p>
      <w:r>
        <w:t>Đánh giá có hai câu hỏi riêng. (1) Placement: với cùng mục tiêu và truy vấn, phân bổ RF của Demo B có làm tăng tỷ lệ phiên/truy vấn trả về token so với vị trí HMA của Demo A không? (2) Cảnh báo hành vi: RF của B phân loại phiên đáng ngờ tốt hơn quy tắc token-hit của A thế nào, xét precision, recall, F1 và báo động giả? Không dùng chỉ số classifier để kết luận hiệu quả placement.</w:t>
      </w:r>
    </w:p>
    <w:p>
      <w:pPr>
        <w:pStyle w:val="Heading1"/>
      </w:pPr>
      <w:r>
        <w:t>2. Phương pháp</w:t>
      </w:r>
    </w:p>
    <w:p>
      <w:pPr>
        <w:pStyle w:val="Heading2"/>
      </w:pPr>
      <w:r>
        <w:t>2.1 Vai trò từng demo</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c>
          <w:tcPr>
            <w:tcW w:type="dxa" w:w="1728"/>
            <w:shd w:fill="1F4E78"/>
            <w:vAlign w:val="center"/>
          </w:tcPr>
          <w:p>
            <w:pPr>
              <w:spacing w:after="20"/>
            </w:pPr>
            <w:r>
              <w:rPr>
                <w:b/>
                <w:color w:val="FFFFFF"/>
                <w:sz w:val="18"/>
              </w:rPr>
              <w:t>Thành phần</w:t>
            </w:r>
          </w:p>
        </w:tc>
        <w:tc>
          <w:tcPr>
            <w:tcW w:type="dxa" w:w="3888"/>
            <w:shd w:fill="1F4E78"/>
            <w:vAlign w:val="center"/>
          </w:tcPr>
          <w:p>
            <w:r>
              <w:t>Demo A — SDV/HMA đối chứng</w:t>
            </w:r>
          </w:p>
        </w:tc>
        <w:tc>
          <w:tcPr>
            <w:tcW w:type="dxa" w:w="4176"/>
            <w:shd w:fill="1F4E78"/>
            <w:vAlign w:val="center"/>
          </w:tcPr>
          <w:p>
            <w:r>
              <w:t>Demo B — Random Forest trọng tâm</w:t>
            </w:r>
          </w:p>
        </w:tc>
      </w:tr>
      <w:tr>
        <w:tc>
          <w:tcPr>
            <w:tcW w:type="dxa" w:w="1728"/>
            <w:vAlign w:val="center"/>
          </w:tcPr>
          <w:p>
            <w:pPr>
              <w:spacing w:after="20"/>
            </w:pPr>
            <w:r>
              <w:rPr>
                <w:sz w:val="18"/>
              </w:rPr>
              <w:t>Sinh nội dung</w:t>
            </w:r>
          </w:p>
        </w:tc>
        <w:tc>
          <w:tcPr>
            <w:tcW w:type="dxa" w:w="3888"/>
            <w:vAlign w:val="center"/>
          </w:tcPr>
          <w:p>
            <w:r>
              <w:t>HMA sinh candidate quan hệ nhiều bảng; giữ department assignment HMA làm vị trí đối chứng. Cảnh báo khi token-hit.</w:t>
            </w:r>
          </w:p>
        </w:tc>
        <w:tc>
          <w:tcPr>
            <w:tcW w:type="dxa" w:w="4176"/>
            <w:vAlign w:val="center"/>
          </w:tcPr>
          <w:p>
            <w:r>
              <w:t>Dùng candidate HMA chung; RF chấm rủi ro để chọn vị trí, đồng thời phân loại hành vi để phát hiện/cảnh báo.</w:t>
            </w:r>
          </w:p>
        </w:tc>
      </w:tr>
      <w:tr>
        <w:tc>
          <w:tcPr>
            <w:tcW w:type="dxa" w:w="1728"/>
            <w:vAlign w:val="center"/>
          </w:tcPr>
          <w:p>
            <w:pPr>
              <w:spacing w:after="20"/>
            </w:pPr>
            <w:r>
              <w:rPr>
                <w:sz w:val="18"/>
              </w:rPr>
              <w:t>Chọn vị trí</w:t>
            </w:r>
          </w:p>
        </w:tc>
        <w:tc>
          <w:tcPr>
            <w:tcW w:type="dxa" w:w="3888"/>
            <w:vAlign w:val="center"/>
          </w:tcPr>
          <w:p>
            <w:pPr>
              <w:spacing w:after="20"/>
            </w:pPr>
            <w:r>
              <w:rPr>
                <w:sz w:val="18"/>
              </w:rPr>
              <w:t>Giữ department assignment do HMA sinh.</w:t>
            </w:r>
          </w:p>
        </w:tc>
        <w:tc>
          <w:tcPr>
            <w:tcW w:type="dxa" w:w="4176"/>
            <w:vAlign w:val="center"/>
          </w:tcPr>
          <w:p>
            <w:pPr>
              <w:spacing w:after="20"/>
            </w:pPr>
            <w:r>
              <w:rPr>
                <w:sz w:val="18"/>
              </w:rPr>
              <w:t>Random Forest chấm telemetry; điểm rủi ro trung bình mỗi department dùng để chia ngân sách token.</w:t>
            </w:r>
          </w:p>
        </w:tc>
      </w:tr>
      <w:tr>
        <w:tc>
          <w:tcPr>
            <w:tcW w:type="dxa" w:w="1728"/>
            <w:vAlign w:val="center"/>
          </w:tcPr>
          <w:p>
            <w:pPr>
              <w:spacing w:after="20"/>
            </w:pPr>
            <w:r>
              <w:rPr>
                <w:sz w:val="18"/>
              </w:rPr>
              <w:t>Registry</w:t>
            </w:r>
          </w:p>
        </w:tc>
        <w:tc>
          <w:tcPr>
            <w:tcW w:type="dxa" w:w="3888"/>
            <w:vAlign w:val="center"/>
          </w:tcPr>
          <w:p>
            <w:pPr>
              <w:spacing w:after="20"/>
            </w:pPr>
            <w:r>
              <w:rPr>
                <w:sz w:val="18"/>
              </w:rPr>
              <w:t>honeytoken_security, ID mặc định 910051–910100.</w:t>
            </w:r>
          </w:p>
        </w:tc>
        <w:tc>
          <w:tcPr>
            <w:tcW w:type="dxa" w:w="4176"/>
            <w:vAlign w:val="center"/>
          </w:tcPr>
          <w:p>
            <w:pPr>
              <w:spacing w:after="20"/>
            </w:pPr>
            <w:r>
              <w:rPr>
                <w:sz w:val="18"/>
              </w:rPr>
              <w:t>honeytoken_security_b, ID mặc định 910001–910050.</w:t>
            </w:r>
          </w:p>
        </w:tc>
      </w:tr>
      <w:tr>
        <w:tc>
          <w:tcPr>
            <w:tcW w:type="dxa" w:w="1728"/>
            <w:vAlign w:val="center"/>
          </w:tcPr>
          <w:p>
            <w:pPr>
              <w:spacing w:after="20"/>
            </w:pPr>
            <w:r>
              <w:rPr>
                <w:sz w:val="18"/>
              </w:rPr>
              <w:t>Ý nghĩa</w:t>
            </w:r>
          </w:p>
        </w:tc>
        <w:tc>
          <w:tcPr>
            <w:tcW w:type="dxa" w:w="3888"/>
            <w:vAlign w:val="center"/>
          </w:tcPr>
          <w:p>
            <w:r>
              <w:t>Phương pháp tham chiếu theo hướng bài báo; chưa tái hiện human evaluation hoặc xác nhận mọi deployment strategy.</w:t>
            </w:r>
          </w:p>
        </w:tc>
        <w:tc>
          <w:tcPr>
            <w:tcW w:type="dxa" w:w="4176"/>
            <w:vAlign w:val="center"/>
          </w:tcPr>
          <w:p>
            <w:r>
              <w:t>Đóng góp chính của đồ án: chọn vị trí thích nghi và phân tích cảnh báo bằng Random Forest.</w:t>
            </w:r>
          </w:p>
        </w:tc>
      </w:tr>
    </w:tbl>
    <w:p>
      <w:pPr>
        <w:spacing w:after="40"/>
      </w:pPr>
    </w:p>
    <w:p>
      <w:pPr>
        <w:pStyle w:val="Heading2"/>
      </w:pPr>
      <w:r>
        <w:t>2.2 Dữ liệu model và nguồn nhãn</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c>
          <w:tcPr>
            <w:tcW w:type="dxa" w:w="1944"/>
            <w:shd w:fill="1F4E78"/>
            <w:vAlign w:val="center"/>
          </w:tcPr>
          <w:p>
            <w:pPr>
              <w:spacing w:after="20"/>
            </w:pPr>
            <w:r>
              <w:rPr>
                <w:b/>
                <w:color w:val="FFFFFF"/>
                <w:sz w:val="18"/>
              </w:rPr>
              <w:t>Nguồn</w:t>
            </w:r>
          </w:p>
        </w:tc>
        <w:tc>
          <w:tcPr>
            <w:tcW w:type="dxa" w:w="4320"/>
            <w:shd w:fill="1F4E78"/>
            <w:vAlign w:val="center"/>
          </w:tcPr>
          <w:p>
            <w:pPr>
              <w:spacing w:after="20"/>
            </w:pPr>
            <w:r>
              <w:rPr>
                <w:b/>
                <w:color w:val="FFFFFF"/>
                <w:sz w:val="18"/>
              </w:rPr>
              <w:t>Dữ liệu sử dụng</w:t>
            </w:r>
          </w:p>
        </w:tc>
        <w:tc>
          <w:tcPr>
            <w:tcW w:type="dxa" w:w="3528"/>
            <w:shd w:fill="1F4E78"/>
            <w:vAlign w:val="center"/>
          </w:tcPr>
          <w:p>
            <w:pPr>
              <w:spacing w:after="20"/>
            </w:pPr>
            <w:r>
              <w:rPr>
                <w:b/>
                <w:color w:val="FFFFFF"/>
                <w:sz w:val="18"/>
              </w:rPr>
              <w:t>Giới hạn diễn giải</w:t>
            </w:r>
          </w:p>
        </w:tc>
      </w:tr>
      <w:tr>
        <w:tc>
          <w:tcPr>
            <w:tcW w:type="dxa" w:w="1944"/>
            <w:vAlign w:val="center"/>
          </w:tcPr>
          <w:p>
            <w:pPr>
              <w:spacing w:after="20"/>
            </w:pPr>
            <w:r>
              <w:rPr>
                <w:sz w:val="18"/>
              </w:rPr>
              <w:t>Employee Sample Database</w:t>
            </w:r>
          </w:p>
        </w:tc>
        <w:tc>
          <w:tcPr>
            <w:tcW w:type="dxa" w:w="4320"/>
            <w:vAlign w:val="center"/>
          </w:tcPr>
          <w:p>
            <w:pPr>
              <w:spacing w:after="20"/>
            </w:pPr>
            <w:r>
              <w:rPr>
                <w:sz w:val="18"/>
              </w:rPr>
              <w:t>Bytebase dataset_large, dùng làm database mục tiêu và dữ liệu nguồn cho HMA; khoảng 10.000 nhân viên cùng các bảng quan hệ.</w:t>
            </w:r>
          </w:p>
        </w:tc>
        <w:tc>
          <w:tcPr>
            <w:tcW w:type="dxa" w:w="3528"/>
            <w:vAlign w:val="center"/>
          </w:tcPr>
          <w:p>
            <w:pPr>
              <w:spacing w:after="20"/>
            </w:pPr>
            <w:r>
              <w:rPr>
                <w:sz w:val="18"/>
              </w:rPr>
              <w:t>Dữ liệu mẫu, không có truy vấn người dùng hay nhãn tấn công.</w:t>
            </w:r>
          </w:p>
        </w:tc>
      </w:tr>
      <w:tr>
        <w:tc>
          <w:tcPr>
            <w:tcW w:type="dxa" w:w="1944"/>
            <w:vAlign w:val="center"/>
          </w:tcPr>
          <w:p>
            <w:pPr>
              <w:spacing w:after="20"/>
            </w:pPr>
            <w:r>
              <w:rPr>
                <w:sz w:val="18"/>
              </w:rPr>
              <w:t>HMA/SDV</w:t>
            </w:r>
          </w:p>
        </w:tc>
        <w:tc>
          <w:tcPr>
            <w:tcW w:type="dxa" w:w="4320"/>
            <w:vAlign w:val="center"/>
          </w:tcPr>
          <w:p>
            <w:pPr>
              <w:spacing w:after="20"/>
            </w:pPr>
            <w:r>
              <w:rPr>
                <w:sz w:val="18"/>
              </w:rPr>
              <w:t>employee, dept_emp, dept_manager, salary, title; department dùng làm danh mục tham chiếu.</w:t>
            </w:r>
          </w:p>
        </w:tc>
        <w:tc>
          <w:tcPr>
            <w:tcW w:type="dxa" w:w="3528"/>
            <w:vAlign w:val="center"/>
          </w:tcPr>
          <w:p>
            <w:pPr>
              <w:spacing w:after="20"/>
            </w:pPr>
            <w:r>
              <w:rPr>
                <w:sz w:val="18"/>
              </w:rPr>
              <w:t>Sinh dữ liệu tổng hợp; không học nhãn attack.</w:t>
            </w:r>
          </w:p>
        </w:tc>
      </w:tr>
      <w:tr>
        <w:tc>
          <w:tcPr>
            <w:tcW w:type="dxa" w:w="1944"/>
            <w:vAlign w:val="center"/>
          </w:tcPr>
          <w:p>
            <w:pPr>
              <w:spacing w:after="20"/>
            </w:pPr>
            <w:r>
              <w:rPr>
                <w:sz w:val="18"/>
              </w:rPr>
              <w:t>Random Forest live</w:t>
            </w:r>
          </w:p>
        </w:tc>
        <w:tc>
          <w:tcPr>
            <w:tcW w:type="dxa" w:w="4320"/>
            <w:vAlign w:val="center"/>
          </w:tcPr>
          <w:p>
            <w:pPr>
              <w:spacing w:after="20"/>
            </w:pPr>
            <w:r>
              <w:rPr>
                <w:sz w:val="18"/>
              </w:rPr>
              <w:t>Đặc trưng quan sát từ SELECT trong MySQL lab: số dòng, giờ, số bảng, tần suất, thời lượng, cờ department query.</w:t>
            </w:r>
          </w:p>
        </w:tc>
        <w:tc>
          <w:tcPr>
            <w:tcW w:type="dxa" w:w="3528"/>
            <w:vAlign w:val="center"/>
          </w:tcPr>
          <w:p>
            <w:pPr>
              <w:spacing w:after="20"/>
            </w:pPr>
            <w:r>
              <w:rPr>
                <w:sz w:val="18"/>
              </w:rPr>
              <w:t>Đặc trưng đo thật trong lab; nhãn bình thường/đáng ngờ được simulator gán, không phải nhãn sự cố thật.</w:t>
            </w:r>
          </w:p>
        </w:tc>
      </w:tr>
      <w:tr>
        <w:tc>
          <w:tcPr>
            <w:tcW w:type="dxa" w:w="1944"/>
            <w:vAlign w:val="center"/>
          </w:tcPr>
          <w:p>
            <w:pPr>
              <w:spacing w:after="20"/>
            </w:pPr>
            <w:r>
              <w:rPr>
                <w:sz w:val="18"/>
              </w:rPr>
              <w:t>Risk theo department</w:t>
            </w:r>
          </w:p>
        </w:tc>
        <w:tc>
          <w:tcPr>
            <w:tcW w:type="dxa" w:w="4320"/>
            <w:vAlign w:val="center"/>
          </w:tcPr>
          <w:p>
            <w:pPr>
              <w:spacing w:after="20"/>
            </w:pPr>
            <w:r>
              <w:rPr>
                <w:sz w:val="18"/>
              </w:rPr>
              <w:t>Điểm RF đã ghi trong behavior_events.sqlite3 từ truy vấn qua gateway; lấy trung bình theo department để phân bổ 50 token.</w:t>
            </w:r>
          </w:p>
        </w:tc>
        <w:tc>
          <w:tcPr>
            <w:tcW w:type="dxa" w:w="3528"/>
            <w:vAlign w:val="center"/>
          </w:tcPr>
          <w:p>
            <w:pPr>
              <w:spacing w:after="20"/>
            </w:pPr>
            <w:r>
              <w:rPr>
                <w:sz w:val="18"/>
              </w:rPr>
              <w:t>Kết quả phụ thuộc vào truy vấn đã chạy và dữ liệu risk history hiện có.</w:t>
            </w:r>
          </w:p>
        </w:tc>
      </w:tr>
      <w:tr>
        <w:tc>
          <w:tcPr>
            <w:tcW w:type="dxa" w:w="1944"/>
            <w:vAlign w:val="center"/>
          </w:tcPr>
          <w:p>
            <w:pPr>
              <w:spacing w:after="20"/>
            </w:pPr>
            <w:r>
              <w:rPr>
                <w:sz w:val="18"/>
              </w:rPr>
              <w:t>Benchmark NumPy cũ</w:t>
            </w:r>
          </w:p>
        </w:tc>
        <w:tc>
          <w:tcPr>
            <w:tcW w:type="dxa" w:w="4320"/>
            <w:vAlign w:val="center"/>
          </w:tcPr>
          <w:p>
            <w:pPr>
              <w:spacing w:after="20"/>
            </w:pPr>
            <w:r>
              <w:rPr>
                <w:sz w:val="18"/>
              </w:rPr>
              <w:t>4.000 dòng đặc trưng/nhãn tổng hợp, seed 9001.</w:t>
            </w:r>
          </w:p>
        </w:tc>
        <w:tc>
          <w:tcPr>
            <w:tcW w:type="dxa" w:w="3528"/>
            <w:vAlign w:val="center"/>
          </w:tcPr>
          <w:p>
            <w:pPr>
              <w:spacing w:after="20"/>
            </w:pPr>
            <w:r>
              <w:rPr>
                <w:sz w:val="18"/>
              </w:rPr>
              <w:t>Chỉ là benchmark phân loại tổng hợp; không phải bằng chứng placement.</w:t>
            </w:r>
          </w:p>
        </w:tc>
      </w:tr>
    </w:tbl>
    <w:p>
      <w:pPr>
        <w:spacing w:after="40"/>
      </w:pPr>
    </w:p>
    <w:p>
      <w:pPr>
        <w:pStyle w:val="Heading2"/>
      </w:pPr>
      <w:r>
        <w:t>2.3 Kịch bản attacker có mục tiêu</w:t>
      </w:r>
    </w:p>
    <w:p>
      <w:r>
        <w:t>Attacker có thể nhắm phòng ban cụ thể và dùng nhiều kiểu trích xuất. Capture hiện có kiểm tra tất cả 9 phòng ban và lặp 20 lần theo cặp A/B. Mỗi phòng ban có ba truy vấn giống nhau trên hai demo: (1) lấy 250 emp_no cao nhất, dùng làm chẩn đoán bão hòa; (2) lấy mẫu giả ngẫu nhiên có seed, tối đa 25 dòng; (3) lấy 25 nhân viên có ngày tuyển dụng sớm nhất. Hai kiểu sau là phép đo placement chính. Cùng danh sách mục tiêu, seed và truy vấn được áp dụng cho A/B.</w:t>
      </w:r>
    </w:p>
    <w:p>
      <w:r>
        <w:t>Kịch bản đánh giá cảnh báo gồm tra cứu bình thường, báo cáo hợp lệ, bảo trì, dò ID nhanh, quét phòng ban, thu thập rộng, low-and-slow, các truy vấn mục tiêu và canary validation. Canary biết trước ID token nên chỉ xác nhận đường cảnh báo; không dùng làm bằng chứng hiệu quả placement. Nhãn hành vi do script gán trong phòng lab, không phải nhãn sự cố ngoài đời.</w:t>
      </w:r>
    </w:p>
    <w:p>
      <w:pPr>
        <w:pStyle w:val="Heading2"/>
      </w:pPr>
      <w:r>
        <w:t>2.4 Chỉ số so sánh vị trí</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c>
          <w:tcPr>
            <w:tcW w:type="dxa" w:w="2160"/>
            <w:shd w:fill="1F4E78"/>
            <w:vAlign w:val="center"/>
          </w:tcPr>
          <w:p>
            <w:pPr>
              <w:spacing w:after="20"/>
            </w:pPr>
            <w:r>
              <w:rPr>
                <w:b/>
                <w:color w:val="FFFFFF"/>
                <w:sz w:val="18"/>
              </w:rPr>
              <w:t>Chỉ số</w:t>
            </w:r>
          </w:p>
        </w:tc>
        <w:tc>
          <w:tcPr>
            <w:tcW w:type="dxa" w:w="5904"/>
            <w:shd w:fill="1F4E78"/>
            <w:vAlign w:val="center"/>
          </w:tcPr>
          <w:p>
            <w:pPr>
              <w:spacing w:after="20"/>
            </w:pPr>
            <w:r>
              <w:rPr>
                <w:b/>
                <w:color w:val="FFFFFF"/>
                <w:sz w:val="18"/>
              </w:rPr>
              <w:t>Cách tính</w:t>
            </w:r>
          </w:p>
        </w:tc>
        <w:tc>
          <w:tcPr>
            <w:tcW w:type="dxa" w:w="1728"/>
            <w:shd w:fill="1F4E78"/>
            <w:vAlign w:val="center"/>
          </w:tcPr>
          <w:p>
            <w:pPr>
              <w:spacing w:after="20"/>
            </w:pPr>
            <w:r>
              <w:rPr>
                <w:b/>
                <w:color w:val="FFFFFF"/>
                <w:sz w:val="18"/>
              </w:rPr>
              <w:t>Đơn vị</w:t>
            </w:r>
          </w:p>
        </w:tc>
      </w:tr>
      <w:tr>
        <w:tc>
          <w:tcPr>
            <w:tcW w:type="dxa" w:w="2160"/>
            <w:vAlign w:val="center"/>
          </w:tcPr>
          <w:p>
            <w:pPr>
              <w:spacing w:after="20"/>
            </w:pPr>
            <w:r>
              <w:rPr>
                <w:sz w:val="18"/>
              </w:rPr>
              <w:t>Phiên có token hit</w:t>
            </w:r>
          </w:p>
        </w:tc>
        <w:tc>
          <w:tcPr>
            <w:tcW w:type="dxa" w:w="5904"/>
            <w:vAlign w:val="center"/>
          </w:tcPr>
          <w:p>
            <w:pPr>
              <w:spacing w:after="20"/>
            </w:pPr>
            <w:r>
              <w:rPr>
                <w:sz w:val="18"/>
              </w:rPr>
              <w:t>Số phiên mục tiêu có ít nhất một truy vấn trả về token / tổng phiên mục tiêu.</w:t>
            </w:r>
          </w:p>
        </w:tc>
        <w:tc>
          <w:tcPr>
            <w:tcW w:type="dxa" w:w="1728"/>
            <w:vAlign w:val="center"/>
          </w:tcPr>
          <w:p>
            <w:pPr>
              <w:spacing w:after="20"/>
            </w:pPr>
            <w:r>
              <w:rPr>
                <w:sz w:val="18"/>
              </w:rPr>
              <w:t>phiên; %</w:t>
            </w:r>
          </w:p>
        </w:tc>
      </w:tr>
      <w:tr>
        <w:tc>
          <w:tcPr>
            <w:tcW w:type="dxa" w:w="2160"/>
            <w:vAlign w:val="center"/>
          </w:tcPr>
          <w:p>
            <w:pPr>
              <w:spacing w:after="20"/>
            </w:pPr>
            <w:r>
              <w:rPr>
                <w:sz w:val="18"/>
              </w:rPr>
              <w:t>Truy vấn có token hit</w:t>
            </w:r>
          </w:p>
        </w:tc>
        <w:tc>
          <w:tcPr>
            <w:tcW w:type="dxa" w:w="5904"/>
            <w:vAlign w:val="center"/>
          </w:tcPr>
          <w:p>
            <w:pPr>
              <w:spacing w:after="20"/>
            </w:pPr>
            <w:r>
              <w:rPr>
                <w:sz w:val="18"/>
              </w:rPr>
              <w:t>Số truy vấn mục tiêu trả về ít nhất một token / tổng truy vấn mục tiêu.</w:t>
            </w:r>
          </w:p>
        </w:tc>
        <w:tc>
          <w:tcPr>
            <w:tcW w:type="dxa" w:w="1728"/>
            <w:vAlign w:val="center"/>
          </w:tcPr>
          <w:p>
            <w:pPr>
              <w:spacing w:after="20"/>
            </w:pPr>
            <w:r>
              <w:rPr>
                <w:sz w:val="18"/>
              </w:rPr>
              <w:t>truy vấn; %</w:t>
            </w:r>
          </w:p>
        </w:tc>
      </w:tr>
      <w:tr>
        <w:tc>
          <w:tcPr>
            <w:tcW w:type="dxa" w:w="2160"/>
            <w:vAlign w:val="center"/>
          </w:tcPr>
          <w:p>
            <w:pPr>
              <w:spacing w:after="20"/>
            </w:pPr>
            <w:r>
              <w:rPr>
                <w:sz w:val="18"/>
              </w:rPr>
              <w:t>Theo mục tiêu</w:t>
            </w:r>
          </w:p>
        </w:tc>
        <w:tc>
          <w:tcPr>
            <w:tcW w:type="dxa" w:w="5904"/>
            <w:vAlign w:val="center"/>
          </w:tcPr>
          <w:p>
            <w:r>
              <w:t>Tính riêng từng phòng ban và cách truy vấn; lấy mẫu 25 dòng và 25 ngày tuyển dụng sớm là chính, latest-250 là chẩn đoán.</w:t>
            </w:r>
          </w:p>
        </w:tc>
        <w:tc>
          <w:tcPr>
            <w:tcW w:type="dxa" w:w="1728"/>
            <w:vAlign w:val="center"/>
          </w:tcPr>
          <w:p>
            <w:r>
              <w:t>phòng ban × cách truy vấn</w:t>
            </w:r>
          </w:p>
        </w:tc>
      </w:tr>
      <w:tr>
        <w:tc>
          <w:tcPr>
            <w:tcW w:type="dxa" w:w="2160"/>
            <w:vAlign w:val="center"/>
          </w:tcPr>
          <w:p>
            <w:pPr>
              <w:spacing w:after="20"/>
            </w:pPr>
            <w:r>
              <w:rPr>
                <w:sz w:val="18"/>
              </w:rPr>
              <w:t>RF classifier metrics</w:t>
            </w:r>
          </w:p>
        </w:tc>
        <w:tc>
          <w:tcPr>
            <w:tcW w:type="dxa" w:w="5904"/>
            <w:vAlign w:val="center"/>
          </w:tcPr>
          <w:p>
            <w:pPr>
              <w:spacing w:after="20"/>
            </w:pPr>
            <w:r>
              <w:rPr>
                <w:sz w:val="18"/>
              </w:rPr>
              <w:t>Accuracy, precision, recall, F1, FPR được báo ở tab riêng.</w:t>
            </w:r>
          </w:p>
        </w:tc>
        <w:tc>
          <w:tcPr>
            <w:tcW w:type="dxa" w:w="1728"/>
            <w:vAlign w:val="center"/>
          </w:tcPr>
          <w:p>
            <w:pPr>
              <w:spacing w:after="20"/>
            </w:pPr>
            <w:r>
              <w:rPr>
                <w:sz w:val="18"/>
              </w:rPr>
              <w:t>% hoặc điểm F1</w:t>
            </w:r>
          </w:p>
        </w:tc>
      </w:tr>
    </w:tbl>
    <w:p>
      <w:pPr>
        <w:spacing w:after="40"/>
      </w:pPr>
    </w:p>
    <w:p>
      <w:r>
        <w:t>Để công bằng, A/B dùng chung database employee, cùng nội dung HMA, ngân sách 50 token, mục tiêu, truy vấn và số lượt. Phép đo placement chính gồm 9 phòng ban × 2 kiểu truy vấn × 20 lượt = 360 phiên mỗi demo. Báo tỷ lệ phiên có hit, tỷ lệ truy vấn có hit và số lượt dòng token trả về. Nhóm cảnh báo ML được đánh giá riêng trên 700 phiên mỗi demo.</w:t>
      </w:r>
    </w:p>
    <w:p>
      <w:pPr>
        <w:pStyle w:val="Heading1"/>
      </w:pPr>
      <w:r>
        <w:t>3. Kết quả hiện có</w:t>
      </w:r>
    </w:p>
    <w:p>
      <w:pPr>
        <w:pStyle w:val="Heading2"/>
      </w:pPr>
      <w:r>
        <w:t>3.1 Kiểm thử chức năng Demo A</w:t>
      </w:r>
    </w:p>
    <w:p>
      <w:r>
        <w:t>Artifacts: DemoA/results/static_baseline_metrics.json và static_baseline_results.csv. Thử nghiệm gồm 100 truy vấn ID đã biết trước, 50 dương và 50 âm.</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0"/>
        <w:gridCol w:w="1130"/>
        <w:gridCol w:w="1130"/>
        <w:gridCol w:w="1130"/>
        <w:gridCol w:w="1130"/>
        <w:gridCol w:w="1130"/>
        <w:gridCol w:w="1130"/>
        <w:gridCol w:w="1130"/>
        <w:gridCol w:w="1130"/>
      </w:tblGrid>
      <w:tr>
        <w:tc>
          <w:tcPr>
            <w:tcW w:type="dxa" w:w="1152"/>
            <w:shd w:fill="1F4E78"/>
            <w:vAlign w:val="center"/>
          </w:tcPr>
          <w:p>
            <w:pPr>
              <w:spacing w:after="20"/>
            </w:pPr>
            <w:r>
              <w:rPr>
                <w:b/>
                <w:color w:val="FFFFFF"/>
                <w:sz w:val="18"/>
              </w:rPr>
              <w:t>Số truy vấn</w:t>
            </w:r>
          </w:p>
        </w:tc>
        <w:tc>
          <w:tcPr>
            <w:tcW w:type="dxa" w:w="792"/>
            <w:shd w:fill="1F4E78"/>
            <w:vAlign w:val="center"/>
          </w:tcPr>
          <w:p>
            <w:pPr>
              <w:spacing w:after="20"/>
            </w:pPr>
            <w:r>
              <w:rPr>
                <w:b/>
                <w:color w:val="FFFFFF"/>
                <w:sz w:val="18"/>
              </w:rPr>
              <w:t>TP</w:t>
            </w:r>
          </w:p>
        </w:tc>
        <w:tc>
          <w:tcPr>
            <w:tcW w:type="dxa" w:w="792"/>
            <w:shd w:fill="1F4E78"/>
            <w:vAlign w:val="center"/>
          </w:tcPr>
          <w:p>
            <w:pPr>
              <w:spacing w:after="20"/>
            </w:pPr>
            <w:r>
              <w:rPr>
                <w:b/>
                <w:color w:val="FFFFFF"/>
                <w:sz w:val="18"/>
              </w:rPr>
              <w:t>TN</w:t>
            </w:r>
          </w:p>
        </w:tc>
        <w:tc>
          <w:tcPr>
            <w:tcW w:type="dxa" w:w="792"/>
            <w:shd w:fill="1F4E78"/>
            <w:vAlign w:val="center"/>
          </w:tcPr>
          <w:p>
            <w:pPr>
              <w:spacing w:after="20"/>
            </w:pPr>
            <w:r>
              <w:rPr>
                <w:b/>
                <w:color w:val="FFFFFF"/>
                <w:sz w:val="18"/>
              </w:rPr>
              <w:t>FP</w:t>
            </w:r>
          </w:p>
        </w:tc>
        <w:tc>
          <w:tcPr>
            <w:tcW w:type="dxa" w:w="792"/>
            <w:shd w:fill="1F4E78"/>
            <w:vAlign w:val="center"/>
          </w:tcPr>
          <w:p>
            <w:pPr>
              <w:spacing w:after="20"/>
            </w:pPr>
            <w:r>
              <w:rPr>
                <w:b/>
                <w:color w:val="FFFFFF"/>
                <w:sz w:val="18"/>
              </w:rPr>
              <w:t>FN</w:t>
            </w:r>
          </w:p>
        </w:tc>
        <w:tc>
          <w:tcPr>
            <w:tcW w:type="dxa" w:w="1152"/>
            <w:shd w:fill="1F4E78"/>
            <w:vAlign w:val="center"/>
          </w:tcPr>
          <w:p>
            <w:pPr>
              <w:spacing w:after="20"/>
            </w:pPr>
            <w:r>
              <w:rPr>
                <w:b/>
                <w:color w:val="FFFFFF"/>
                <w:sz w:val="18"/>
              </w:rPr>
              <w:t>Accuracy</w:t>
            </w:r>
          </w:p>
        </w:tc>
        <w:tc>
          <w:tcPr>
            <w:tcW w:type="dxa" w:w="1008"/>
            <w:shd w:fill="1F4E78"/>
            <w:vAlign w:val="center"/>
          </w:tcPr>
          <w:p>
            <w:pPr>
              <w:spacing w:after="20"/>
            </w:pPr>
            <w:r>
              <w:rPr>
                <w:b/>
                <w:color w:val="FFFFFF"/>
                <w:sz w:val="18"/>
              </w:rPr>
              <w:t>Recall</w:t>
            </w:r>
          </w:p>
        </w:tc>
        <w:tc>
          <w:tcPr>
            <w:tcW w:type="dxa" w:w="864"/>
            <w:shd w:fill="1F4E78"/>
            <w:vAlign w:val="center"/>
          </w:tcPr>
          <w:p>
            <w:pPr>
              <w:spacing w:after="20"/>
            </w:pPr>
            <w:r>
              <w:rPr>
                <w:b/>
                <w:color w:val="FFFFFF"/>
                <w:sz w:val="18"/>
              </w:rPr>
              <w:t>F1</w:t>
            </w:r>
          </w:p>
        </w:tc>
        <w:tc>
          <w:tcPr>
            <w:tcW w:type="dxa" w:w="864"/>
            <w:shd w:fill="1F4E78"/>
            <w:vAlign w:val="center"/>
          </w:tcPr>
          <w:p>
            <w:pPr>
              <w:spacing w:after="20"/>
            </w:pPr>
            <w:r>
              <w:rPr>
                <w:b/>
                <w:color w:val="FFFFFF"/>
                <w:sz w:val="18"/>
              </w:rPr>
              <w:t>FPR</w:t>
            </w:r>
          </w:p>
        </w:tc>
      </w:tr>
      <w:tr>
        <w:tc>
          <w:tcPr>
            <w:tcW w:type="dxa" w:w="1152"/>
            <w:vAlign w:val="center"/>
          </w:tcPr>
          <w:p>
            <w:pPr>
              <w:spacing w:after="20"/>
            </w:pPr>
            <w:r>
              <w:rPr>
                <w:sz w:val="18"/>
              </w:rPr>
              <w:t>100</w:t>
            </w:r>
          </w:p>
        </w:tc>
        <w:tc>
          <w:tcPr>
            <w:tcW w:type="dxa" w:w="792"/>
            <w:vAlign w:val="center"/>
          </w:tcPr>
          <w:p>
            <w:pPr>
              <w:spacing w:after="20"/>
            </w:pPr>
            <w:r>
              <w:rPr>
                <w:sz w:val="18"/>
              </w:rPr>
              <w:t>50</w:t>
            </w:r>
          </w:p>
        </w:tc>
        <w:tc>
          <w:tcPr>
            <w:tcW w:type="dxa" w:w="792"/>
            <w:vAlign w:val="center"/>
          </w:tcPr>
          <w:p>
            <w:pPr>
              <w:spacing w:after="20"/>
            </w:pPr>
            <w:r>
              <w:rPr>
                <w:sz w:val="18"/>
              </w:rPr>
              <w:t>50</w:t>
            </w:r>
          </w:p>
        </w:tc>
        <w:tc>
          <w:tcPr>
            <w:tcW w:type="dxa" w:w="792"/>
            <w:vAlign w:val="center"/>
          </w:tcPr>
          <w:p>
            <w:pPr>
              <w:spacing w:after="20"/>
            </w:pPr>
            <w:r>
              <w:rPr>
                <w:sz w:val="18"/>
              </w:rPr>
              <w:t>0</w:t>
            </w:r>
          </w:p>
        </w:tc>
        <w:tc>
          <w:tcPr>
            <w:tcW w:type="dxa" w:w="792"/>
            <w:vAlign w:val="center"/>
          </w:tcPr>
          <w:p>
            <w:pPr>
              <w:spacing w:after="20"/>
            </w:pPr>
            <w:r>
              <w:rPr>
                <w:sz w:val="18"/>
              </w:rPr>
              <w:t>0</w:t>
            </w:r>
          </w:p>
        </w:tc>
        <w:tc>
          <w:tcPr>
            <w:tcW w:type="dxa" w:w="1152"/>
            <w:vAlign w:val="center"/>
          </w:tcPr>
          <w:p>
            <w:pPr>
              <w:spacing w:after="20"/>
            </w:pPr>
            <w:r>
              <w:rPr>
                <w:sz w:val="18"/>
              </w:rPr>
              <w:t>100%</w:t>
            </w:r>
          </w:p>
        </w:tc>
        <w:tc>
          <w:tcPr>
            <w:tcW w:type="dxa" w:w="1008"/>
            <w:vAlign w:val="center"/>
          </w:tcPr>
          <w:p>
            <w:pPr>
              <w:spacing w:after="20"/>
            </w:pPr>
            <w:r>
              <w:rPr>
                <w:sz w:val="18"/>
              </w:rPr>
              <w:t>100%</w:t>
            </w:r>
          </w:p>
        </w:tc>
        <w:tc>
          <w:tcPr>
            <w:tcW w:type="dxa" w:w="864"/>
            <w:vAlign w:val="center"/>
          </w:tcPr>
          <w:p>
            <w:pPr>
              <w:spacing w:after="20"/>
            </w:pPr>
            <w:r>
              <w:rPr>
                <w:sz w:val="18"/>
              </w:rPr>
              <w:t>1,000</w:t>
            </w:r>
          </w:p>
        </w:tc>
        <w:tc>
          <w:tcPr>
            <w:tcW w:type="dxa" w:w="864"/>
            <w:vAlign w:val="center"/>
          </w:tcPr>
          <w:p>
            <w:pPr>
              <w:spacing w:after="20"/>
            </w:pPr>
            <w:r>
              <w:rPr>
                <w:sz w:val="18"/>
              </w:rPr>
              <w:t>0%</w:t>
            </w:r>
          </w:p>
        </w:tc>
      </w:tr>
    </w:tbl>
    <w:p>
      <w:pPr>
        <w:spacing w:after="40"/>
      </w:pPr>
    </w:p>
    <w:p>
      <w:r>
        <w:t>Kết quả này xác nhận luồng tra cứu/cảnh báo với ID token đã biết; không đo khả năng chống attacker tổng quát và không so sánh vị trí HMA với RF.</w:t>
      </w:r>
    </w:p>
    <w:p>
      <w:pPr>
        <w:pStyle w:val="Heading2"/>
      </w:pPr>
      <w:r>
        <w:t>3.2 Benchmark phân loại tổng hợp cũ</w:t>
      </w:r>
    </w:p>
    <w:p>
      <w:r>
        <w:t>Artifacts: DemoB/results/ab_metrics.csv và ab_metrics.json. Đây là 5 lần đánh giá trên dữ liệu hành vi tổng hợp, không phải kết quả MySQL placement.</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94"/>
        <w:gridCol w:w="1694"/>
        <w:gridCol w:w="1694"/>
        <w:gridCol w:w="1694"/>
        <w:gridCol w:w="1694"/>
        <w:gridCol w:w="1694"/>
      </w:tblGrid>
      <w:tr>
        <w:tc>
          <w:tcPr>
            <w:tcW w:type="dxa" w:w="3384"/>
            <w:shd w:fill="1F4E78"/>
            <w:vAlign w:val="center"/>
          </w:tcPr>
          <w:p>
            <w:pPr>
              <w:spacing w:after="20"/>
            </w:pPr>
            <w:r>
              <w:rPr>
                <w:b/>
                <w:color w:val="FFFFFF"/>
                <w:sz w:val="18"/>
              </w:rPr>
              <w:t>Phương pháp</w:t>
            </w:r>
          </w:p>
        </w:tc>
        <w:tc>
          <w:tcPr>
            <w:tcW w:type="dxa" w:w="1224"/>
            <w:shd w:fill="1F4E78"/>
            <w:vAlign w:val="center"/>
          </w:tcPr>
          <w:p>
            <w:pPr>
              <w:spacing w:after="20"/>
            </w:pPr>
            <w:r>
              <w:rPr>
                <w:b/>
                <w:color w:val="FFFFFF"/>
                <w:sz w:val="18"/>
              </w:rPr>
              <w:t>Accuracy</w:t>
            </w:r>
          </w:p>
        </w:tc>
        <w:tc>
          <w:tcPr>
            <w:tcW w:type="dxa" w:w="1224"/>
            <w:shd w:fill="1F4E78"/>
            <w:vAlign w:val="center"/>
          </w:tcPr>
          <w:p>
            <w:pPr>
              <w:spacing w:after="20"/>
            </w:pPr>
            <w:r>
              <w:rPr>
                <w:b/>
                <w:color w:val="FFFFFF"/>
                <w:sz w:val="18"/>
              </w:rPr>
              <w:t>Precision</w:t>
            </w:r>
          </w:p>
        </w:tc>
        <w:tc>
          <w:tcPr>
            <w:tcW w:type="dxa" w:w="1152"/>
            <w:shd w:fill="1F4E78"/>
            <w:vAlign w:val="center"/>
          </w:tcPr>
          <w:p>
            <w:pPr>
              <w:spacing w:after="20"/>
            </w:pPr>
            <w:r>
              <w:rPr>
                <w:b/>
                <w:color w:val="FFFFFF"/>
                <w:sz w:val="18"/>
              </w:rPr>
              <w:t>Recall</w:t>
            </w:r>
          </w:p>
        </w:tc>
        <w:tc>
          <w:tcPr>
            <w:tcW w:type="dxa" w:w="1008"/>
            <w:shd w:fill="1F4E78"/>
            <w:vAlign w:val="center"/>
          </w:tcPr>
          <w:p>
            <w:pPr>
              <w:spacing w:after="20"/>
            </w:pPr>
            <w:r>
              <w:rPr>
                <w:b/>
                <w:color w:val="FFFFFF"/>
                <w:sz w:val="18"/>
              </w:rPr>
              <w:t>F1</w:t>
            </w:r>
          </w:p>
        </w:tc>
        <w:tc>
          <w:tcPr>
            <w:tcW w:type="dxa" w:w="936"/>
            <w:shd w:fill="1F4E78"/>
            <w:vAlign w:val="center"/>
          </w:tcPr>
          <w:p>
            <w:pPr>
              <w:spacing w:after="20"/>
            </w:pPr>
            <w:r>
              <w:rPr>
                <w:b/>
                <w:color w:val="FFFFFF"/>
                <w:sz w:val="18"/>
              </w:rPr>
              <w:t>FPR</w:t>
            </w:r>
          </w:p>
        </w:tc>
      </w:tr>
      <w:tr>
        <w:tc>
          <w:tcPr>
            <w:tcW w:type="dxa" w:w="3384"/>
            <w:vAlign w:val="center"/>
          </w:tcPr>
          <w:p>
            <w:pPr>
              <w:spacing w:after="20"/>
            </w:pPr>
            <w:r>
              <w:rPr>
                <w:sz w:val="18"/>
              </w:rPr>
              <w:t>A — token hit tĩnh</w:t>
            </w:r>
          </w:p>
        </w:tc>
        <w:tc>
          <w:tcPr>
            <w:tcW w:type="dxa" w:w="1224"/>
            <w:vAlign w:val="center"/>
          </w:tcPr>
          <w:p>
            <w:pPr>
              <w:spacing w:after="20"/>
            </w:pPr>
            <w:r>
              <w:rPr>
                <w:sz w:val="18"/>
              </w:rPr>
              <w:t>58,3%</w:t>
            </w:r>
          </w:p>
        </w:tc>
        <w:tc>
          <w:tcPr>
            <w:tcW w:type="dxa" w:w="1224"/>
            <w:vAlign w:val="center"/>
          </w:tcPr>
          <w:p>
            <w:pPr>
              <w:spacing w:after="20"/>
            </w:pPr>
            <w:r>
              <w:rPr>
                <w:sz w:val="18"/>
              </w:rPr>
              <w:t>90,3%</w:t>
            </w:r>
          </w:p>
        </w:tc>
        <w:tc>
          <w:tcPr>
            <w:tcW w:type="dxa" w:w="1152"/>
            <w:vAlign w:val="center"/>
          </w:tcPr>
          <w:p>
            <w:pPr>
              <w:spacing w:after="20"/>
            </w:pPr>
            <w:r>
              <w:rPr>
                <w:sz w:val="18"/>
              </w:rPr>
              <w:t>18,5%</w:t>
            </w:r>
          </w:p>
        </w:tc>
        <w:tc>
          <w:tcPr>
            <w:tcW w:type="dxa" w:w="1008"/>
            <w:vAlign w:val="center"/>
          </w:tcPr>
          <w:p>
            <w:pPr>
              <w:spacing w:after="20"/>
            </w:pPr>
            <w:r>
              <w:rPr>
                <w:sz w:val="18"/>
              </w:rPr>
              <w:t>0,307</w:t>
            </w:r>
          </w:p>
        </w:tc>
        <w:tc>
          <w:tcPr>
            <w:tcW w:type="dxa" w:w="936"/>
            <w:vAlign w:val="center"/>
          </w:tcPr>
          <w:p>
            <w:pPr>
              <w:spacing w:after="20"/>
            </w:pPr>
            <w:r>
              <w:rPr>
                <w:sz w:val="18"/>
              </w:rPr>
              <w:t>2,0%</w:t>
            </w:r>
          </w:p>
        </w:tc>
      </w:tr>
      <w:tr>
        <w:tc>
          <w:tcPr>
            <w:tcW w:type="dxa" w:w="3384"/>
            <w:vAlign w:val="center"/>
          </w:tcPr>
          <w:p>
            <w:pPr>
              <w:spacing w:after="20"/>
            </w:pPr>
            <w:r>
              <w:rPr>
                <w:sz w:val="18"/>
              </w:rPr>
              <w:t>B — Random Forest</w:t>
            </w:r>
          </w:p>
        </w:tc>
        <w:tc>
          <w:tcPr>
            <w:tcW w:type="dxa" w:w="1224"/>
            <w:vAlign w:val="center"/>
          </w:tcPr>
          <w:p>
            <w:pPr>
              <w:spacing w:after="20"/>
            </w:pPr>
            <w:r>
              <w:rPr>
                <w:sz w:val="18"/>
              </w:rPr>
              <w:t>89,7%</w:t>
            </w:r>
          </w:p>
        </w:tc>
        <w:tc>
          <w:tcPr>
            <w:tcW w:type="dxa" w:w="1224"/>
            <w:vAlign w:val="center"/>
          </w:tcPr>
          <w:p>
            <w:pPr>
              <w:spacing w:after="20"/>
            </w:pPr>
            <w:r>
              <w:rPr>
                <w:sz w:val="18"/>
              </w:rPr>
              <w:t>99,3%</w:t>
            </w:r>
          </w:p>
        </w:tc>
        <w:tc>
          <w:tcPr>
            <w:tcW w:type="dxa" w:w="1152"/>
            <w:vAlign w:val="center"/>
          </w:tcPr>
          <w:p>
            <w:pPr>
              <w:spacing w:after="20"/>
            </w:pPr>
            <w:r>
              <w:rPr>
                <w:sz w:val="18"/>
              </w:rPr>
              <w:t>80,0%</w:t>
            </w:r>
          </w:p>
        </w:tc>
        <w:tc>
          <w:tcPr>
            <w:tcW w:type="dxa" w:w="1008"/>
            <w:vAlign w:val="center"/>
          </w:tcPr>
          <w:p>
            <w:pPr>
              <w:spacing w:after="20"/>
            </w:pPr>
            <w:r>
              <w:rPr>
                <w:sz w:val="18"/>
              </w:rPr>
              <w:t>0,886</w:t>
            </w:r>
          </w:p>
        </w:tc>
        <w:tc>
          <w:tcPr>
            <w:tcW w:type="dxa" w:w="936"/>
            <w:vAlign w:val="center"/>
          </w:tcPr>
          <w:p>
            <w:pPr>
              <w:spacing w:after="20"/>
            </w:pPr>
            <w:r>
              <w:rPr>
                <w:sz w:val="18"/>
              </w:rPr>
              <w:t>0,6%</w:t>
            </w:r>
          </w:p>
        </w:tc>
      </w:tr>
      <w:tr>
        <w:tc>
          <w:tcPr>
            <w:tcW w:type="dxa" w:w="3384"/>
            <w:vAlign w:val="center"/>
          </w:tcPr>
          <w:p>
            <w:pPr>
              <w:spacing w:after="20"/>
            </w:pPr>
            <w:r>
              <w:rPr>
                <w:sz w:val="18"/>
              </w:rPr>
              <w:t>B — RF kết hợp token hit</w:t>
            </w:r>
          </w:p>
        </w:tc>
        <w:tc>
          <w:tcPr>
            <w:tcW w:type="dxa" w:w="1224"/>
            <w:vAlign w:val="center"/>
          </w:tcPr>
          <w:p>
            <w:pPr>
              <w:spacing w:after="20"/>
            </w:pPr>
            <w:r>
              <w:rPr>
                <w:sz w:val="18"/>
              </w:rPr>
              <w:t>88,8%</w:t>
            </w:r>
          </w:p>
        </w:tc>
        <w:tc>
          <w:tcPr>
            <w:tcW w:type="dxa" w:w="1224"/>
            <w:vAlign w:val="center"/>
          </w:tcPr>
          <w:p>
            <w:pPr>
              <w:spacing w:after="20"/>
            </w:pPr>
            <w:r>
              <w:rPr>
                <w:sz w:val="18"/>
              </w:rPr>
              <w:t>96,9%</w:t>
            </w:r>
          </w:p>
        </w:tc>
        <w:tc>
          <w:tcPr>
            <w:tcW w:type="dxa" w:w="1152"/>
            <w:vAlign w:val="center"/>
          </w:tcPr>
          <w:p>
            <w:pPr>
              <w:spacing w:after="20"/>
            </w:pPr>
            <w:r>
              <w:rPr>
                <w:sz w:val="18"/>
              </w:rPr>
              <w:t>80,1%</w:t>
            </w:r>
          </w:p>
        </w:tc>
        <w:tc>
          <w:tcPr>
            <w:tcW w:type="dxa" w:w="1008"/>
            <w:vAlign w:val="center"/>
          </w:tcPr>
          <w:p>
            <w:pPr>
              <w:spacing w:after="20"/>
            </w:pPr>
            <w:r>
              <w:rPr>
                <w:sz w:val="18"/>
              </w:rPr>
              <w:t>0,877</w:t>
            </w:r>
          </w:p>
        </w:tc>
        <w:tc>
          <w:tcPr>
            <w:tcW w:type="dxa" w:w="936"/>
            <w:vAlign w:val="center"/>
          </w:tcPr>
          <w:p>
            <w:pPr>
              <w:spacing w:after="20"/>
            </w:pPr>
            <w:r>
              <w:rPr>
                <w:sz w:val="18"/>
              </w:rPr>
              <w:t>2,6%</w:t>
            </w:r>
          </w:p>
        </w:tc>
      </w:tr>
    </w:tbl>
    <w:p>
      <w:pPr>
        <w:spacing w:after="40"/>
      </w:pPr>
    </w:p>
    <w:p>
      <w:r>
        <w:t>Các con số này là lịch sử benchmark classifier. Không sử dụng chúng để tuyên bố vị trí B dễ bị chạm hơn hoặc hiệu quả bảo mật hơn.</w:t>
      </w:r>
    </w:p>
    <w:p>
      <w:pPr>
        <w:pStyle w:val="Heading2"/>
      </w:pPr>
      <w:r>
        <w:t>3.3 Kết quả cảnh báo trên capture MySQL lab hiện có</w:t>
      </w:r>
    </w:p>
    <w:p>
      <w:r>
        <w:t>Capture mới có 20 lượt cho mỗi demo, tổng cộng 700 phiên và 4.460 truy vấn mỗi demo. Mỗi demo có 640 phiên bị script gán nhãn đáng ngờ và 60 phiên bình thường. Telemetry được đo từ SELECT trên MySQL cục bộ; nhãn là ground truth của kịch bản lab, không phải sự cố thực.</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0"/>
        <w:gridCol w:w="1130"/>
        <w:gridCol w:w="1130"/>
        <w:gridCol w:w="1130"/>
        <w:gridCol w:w="1130"/>
        <w:gridCol w:w="1130"/>
        <w:gridCol w:w="1130"/>
        <w:gridCol w:w="1130"/>
        <w:gridCol w:w="1130"/>
      </w:tblGrid>
      <w:tr>
        <w:tc>
          <w:tcPr>
            <w:tcW w:type="dxa" w:w="3024"/>
            <w:shd w:fill="1F4E78"/>
            <w:vAlign w:val="center"/>
          </w:tcPr>
          <w:p>
            <w:r>
              <w:t>Phương pháp</w:t>
            </w:r>
          </w:p>
        </w:tc>
        <w:tc>
          <w:tcPr>
            <w:tcW w:type="dxa" w:w="648"/>
            <w:shd w:fill="1F4E78"/>
            <w:vAlign w:val="center"/>
          </w:tcPr>
          <w:p>
            <w:r>
              <w:t>TP</w:t>
            </w:r>
          </w:p>
        </w:tc>
        <w:tc>
          <w:tcPr>
            <w:tcW w:type="dxa" w:w="648"/>
            <w:shd w:fill="1F4E78"/>
            <w:vAlign w:val="center"/>
          </w:tcPr>
          <w:p>
            <w:r>
              <w:t>TN</w:t>
            </w:r>
          </w:p>
        </w:tc>
        <w:tc>
          <w:tcPr>
            <w:tcW w:type="dxa" w:w="648"/>
            <w:shd w:fill="1F4E78"/>
            <w:vAlign w:val="center"/>
          </w:tcPr>
          <w:p>
            <w:r>
              <w:t>FP</w:t>
            </w:r>
          </w:p>
        </w:tc>
        <w:tc>
          <w:tcPr>
            <w:tcW w:type="dxa" w:w="648"/>
            <w:shd w:fill="1F4E78"/>
            <w:vAlign w:val="center"/>
          </w:tcPr>
          <w:p>
            <w:r>
              <w:t>FN</w:t>
            </w:r>
          </w:p>
        </w:tc>
        <w:tc>
          <w:tcPr>
            <w:tcW w:type="dxa" w:w="1224"/>
            <w:shd w:fill="1F4E78"/>
            <w:vAlign w:val="center"/>
          </w:tcPr>
          <w:p>
            <w:r>
              <w:t>Accuracy</w:t>
            </w:r>
          </w:p>
        </w:tc>
        <w:tc>
          <w:tcPr>
            <w:tcW w:type="dxa" w:w="1008"/>
            <w:shd w:fill="1F4E78"/>
            <w:vAlign w:val="center"/>
          </w:tcPr>
          <w:p>
            <w:r>
              <w:t>Recall</w:t>
            </w:r>
          </w:p>
        </w:tc>
        <w:tc>
          <w:tcPr>
            <w:tcW w:type="dxa" w:w="864"/>
            <w:shd w:fill="1F4E78"/>
            <w:vAlign w:val="center"/>
          </w:tcPr>
          <w:p>
            <w:r>
              <w:t>F1</w:t>
            </w:r>
          </w:p>
        </w:tc>
        <w:tc>
          <w:tcPr>
            <w:tcW w:type="dxa" w:w="792"/>
            <w:shd w:fill="1F4E78"/>
            <w:vAlign w:val="center"/>
          </w:tcPr>
          <w:p>
            <w:r>
              <w:t>FPR</w:t>
            </w:r>
          </w:p>
        </w:tc>
      </w:tr>
      <w:tr>
        <w:tc>
          <w:tcPr>
            <w:tcW w:type="dxa" w:w="3024"/>
            <w:vAlign w:val="center"/>
          </w:tcPr>
          <w:p>
            <w:r>
              <w:t>A — SDV/HMA + cảnh báo token-hit</w:t>
            </w:r>
          </w:p>
        </w:tc>
        <w:tc>
          <w:tcPr>
            <w:tcW w:type="dxa" w:w="648"/>
            <w:vAlign w:val="center"/>
          </w:tcPr>
          <w:p>
            <w:r>
              <w:t>270</w:t>
            </w:r>
          </w:p>
        </w:tc>
        <w:tc>
          <w:tcPr>
            <w:tcW w:type="dxa" w:w="648"/>
            <w:vAlign w:val="center"/>
          </w:tcPr>
          <w:p>
            <w:r>
              <w:t>60</w:t>
            </w:r>
          </w:p>
        </w:tc>
        <w:tc>
          <w:tcPr>
            <w:tcW w:type="dxa" w:w="648"/>
            <w:vAlign w:val="center"/>
          </w:tcPr>
          <w:p>
            <w:r>
              <w:t>0</w:t>
            </w:r>
          </w:p>
        </w:tc>
        <w:tc>
          <w:tcPr>
            <w:tcW w:type="dxa" w:w="648"/>
            <w:vAlign w:val="center"/>
          </w:tcPr>
          <w:p>
            <w:r>
              <w:t>370</w:t>
            </w:r>
          </w:p>
        </w:tc>
        <w:tc>
          <w:tcPr>
            <w:tcW w:type="dxa" w:w="1224"/>
            <w:vAlign w:val="center"/>
          </w:tcPr>
          <w:p>
            <w:r>
              <w:t>47,1%</w:t>
            </w:r>
          </w:p>
        </w:tc>
        <w:tc>
          <w:tcPr>
            <w:tcW w:type="dxa" w:w="1008"/>
            <w:vAlign w:val="center"/>
          </w:tcPr>
          <w:p>
            <w:r>
              <w:t>42,2%</w:t>
            </w:r>
          </w:p>
        </w:tc>
        <w:tc>
          <w:tcPr>
            <w:tcW w:type="dxa" w:w="864"/>
            <w:vAlign w:val="center"/>
          </w:tcPr>
          <w:p>
            <w:r>
              <w:t>0,593</w:t>
            </w:r>
          </w:p>
        </w:tc>
        <w:tc>
          <w:tcPr>
            <w:tcW w:type="dxa" w:w="792"/>
            <w:vAlign w:val="center"/>
          </w:tcPr>
          <w:p>
            <w:r>
              <w:t>0,0%</w:t>
            </w:r>
          </w:p>
        </w:tc>
      </w:tr>
      <w:tr>
        <w:tc>
          <w:tcPr>
            <w:tcW w:type="dxa" w:w="3024"/>
            <w:vAlign w:val="center"/>
          </w:tcPr>
          <w:p>
            <w:r>
              <w:t>B — Random Forest</w:t>
            </w:r>
          </w:p>
        </w:tc>
        <w:tc>
          <w:tcPr>
            <w:tcW w:type="dxa" w:w="648"/>
            <w:vAlign w:val="center"/>
          </w:tcPr>
          <w:p>
            <w:r>
              <w:t>639</w:t>
            </w:r>
          </w:p>
        </w:tc>
        <w:tc>
          <w:tcPr>
            <w:tcW w:type="dxa" w:w="648"/>
            <w:vAlign w:val="center"/>
          </w:tcPr>
          <w:p>
            <w:r>
              <w:t>59</w:t>
            </w:r>
          </w:p>
        </w:tc>
        <w:tc>
          <w:tcPr>
            <w:tcW w:type="dxa" w:w="648"/>
            <w:vAlign w:val="center"/>
          </w:tcPr>
          <w:p>
            <w:r>
              <w:t>1</w:t>
            </w:r>
          </w:p>
        </w:tc>
        <w:tc>
          <w:tcPr>
            <w:tcW w:type="dxa" w:w="648"/>
            <w:vAlign w:val="center"/>
          </w:tcPr>
          <w:p>
            <w:r>
              <w:t>1</w:t>
            </w:r>
          </w:p>
        </w:tc>
        <w:tc>
          <w:tcPr>
            <w:tcW w:type="dxa" w:w="1224"/>
            <w:vAlign w:val="center"/>
          </w:tcPr>
          <w:p>
            <w:r>
              <w:t>99,7%</w:t>
            </w:r>
          </w:p>
        </w:tc>
        <w:tc>
          <w:tcPr>
            <w:tcW w:type="dxa" w:w="1008"/>
            <w:vAlign w:val="center"/>
          </w:tcPr>
          <w:p>
            <w:r>
              <w:t>99,8%</w:t>
            </w:r>
          </w:p>
        </w:tc>
        <w:tc>
          <w:tcPr>
            <w:tcW w:type="dxa" w:w="864"/>
            <w:vAlign w:val="center"/>
          </w:tcPr>
          <w:p>
            <w:r>
              <w:t>0,998</w:t>
            </w:r>
          </w:p>
        </w:tc>
        <w:tc>
          <w:tcPr>
            <w:tcW w:type="dxa" w:w="792"/>
            <w:vAlign w:val="center"/>
          </w:tcPr>
          <w:p>
            <w:r>
              <w:t>1,7%</w:t>
            </w:r>
          </w:p>
        </w:tc>
      </w:tr>
      <w:tr>
        <w:tc>
          <w:tcPr>
            <w:tcW w:type="dxa" w:w="3024"/>
            <w:vAlign w:val="center"/>
          </w:tcPr>
          <w:p>
            <w:r>
              <w:t>B — Random Forest OR token-hit</w:t>
            </w:r>
          </w:p>
        </w:tc>
        <w:tc>
          <w:tcPr>
            <w:tcW w:type="dxa" w:w="648"/>
            <w:vAlign w:val="center"/>
          </w:tcPr>
          <w:p>
            <w:r>
              <w:t>639</w:t>
            </w:r>
          </w:p>
        </w:tc>
        <w:tc>
          <w:tcPr>
            <w:tcW w:type="dxa" w:w="648"/>
            <w:vAlign w:val="center"/>
          </w:tcPr>
          <w:p>
            <w:r>
              <w:t>59</w:t>
            </w:r>
          </w:p>
        </w:tc>
        <w:tc>
          <w:tcPr>
            <w:tcW w:type="dxa" w:w="648"/>
            <w:vAlign w:val="center"/>
          </w:tcPr>
          <w:p>
            <w:r>
              <w:t>1</w:t>
            </w:r>
          </w:p>
        </w:tc>
        <w:tc>
          <w:tcPr>
            <w:tcW w:type="dxa" w:w="648"/>
            <w:vAlign w:val="center"/>
          </w:tcPr>
          <w:p>
            <w:r>
              <w:t>1</w:t>
            </w:r>
          </w:p>
        </w:tc>
        <w:tc>
          <w:tcPr>
            <w:tcW w:type="dxa" w:w="1224"/>
            <w:vAlign w:val="center"/>
          </w:tcPr>
          <w:p>
            <w:r>
              <w:t>99,7%</w:t>
            </w:r>
          </w:p>
        </w:tc>
        <w:tc>
          <w:tcPr>
            <w:tcW w:type="dxa" w:w="1008"/>
            <w:vAlign w:val="center"/>
          </w:tcPr>
          <w:p>
            <w:r>
              <w:t>99,8%</w:t>
            </w:r>
          </w:p>
        </w:tc>
        <w:tc>
          <w:tcPr>
            <w:tcW w:type="dxa" w:w="864"/>
            <w:vAlign w:val="center"/>
          </w:tcPr>
          <w:p>
            <w:r>
              <w:t>0,998</w:t>
            </w:r>
          </w:p>
        </w:tc>
        <w:tc>
          <w:tcPr>
            <w:tcW w:type="dxa" w:w="792"/>
            <w:vAlign w:val="center"/>
          </w:tcPr>
          <w:p>
            <w:r>
              <w:t>1,7%</w:t>
            </w:r>
          </w:p>
        </w:tc>
      </w:tr>
    </w:tbl>
    <w:p>
      <w:pPr>
        <w:spacing w:after="40"/>
      </w:pPr>
    </w:p>
    <w:p>
      <w:r>
        <w:t>Ở mức phiên, Demo B Random Forest đạt TP=639, TN=59, FP=1, FN=1; accuracy 99,7%, precision 99,8%, recall 99,8%, F1=0,998 và FPR=1,7% (1/60 phiên bình thường). Demo A token-hit đạt TP=270, TN=60, FP=0, FN=370; accuracy 47,1%, precision 100%, recall 42,2%, F1=0,593 và FPR=0%. Trong bộ script này B phát hiện nhiều phiên đáng ngờ hơn nhưng có một báo động giả. Đây là kết quả lab với các mẫu kịch bản đã biết, không đại diện hiệu năng production hoặc hành vi chưa thấy.</w:t>
      </w:r>
    </w:p>
    <w:p>
      <w:pPr>
        <w:pStyle w:val="Heading2"/>
      </w:pPr>
      <w:r>
        <w:t>3.4 Kết quả đánh giá vị trí SDV/HMA và Random Forest</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94"/>
        <w:gridCol w:w="1694"/>
        <w:gridCol w:w="1694"/>
        <w:gridCol w:w="1694"/>
        <w:gridCol w:w="1694"/>
        <w:gridCol w:w="1694"/>
      </w:tblGrid>
      <w:tr>
        <w:tc>
          <w:tcPr>
            <w:tcW w:type="dxa" w:w="1656"/>
            <w:shd w:fill="1F4E78"/>
            <w:vAlign w:val="center"/>
          </w:tcPr>
          <w:p>
            <w:r>
              <w:t>Phòng ban</w:t>
            </w:r>
          </w:p>
        </w:tc>
        <w:tc>
          <w:tcPr>
            <w:tcW w:type="dxa" w:w="1728"/>
            <w:shd w:fill="1F4E78"/>
            <w:vAlign w:val="center"/>
          </w:tcPr>
          <w:p>
            <w:r>
              <w:t>Mẫu seeded A (hit/20)</w:t>
            </w:r>
          </w:p>
        </w:tc>
        <w:tc>
          <w:tcPr>
            <w:tcW w:type="dxa" w:w="1728"/>
            <w:shd w:fill="1F4E78"/>
            <w:vAlign w:val="center"/>
          </w:tcPr>
          <w:p>
            <w:r>
              <w:t>Mẫu seeded B (hit/20)</w:t>
            </w:r>
          </w:p>
        </w:tc>
        <w:tc>
          <w:tcPr>
            <w:tcW w:type="dxa" w:w="1800"/>
            <w:shd w:fill="1F4E78"/>
            <w:vAlign w:val="center"/>
          </w:tcPr>
          <w:p>
            <w:r>
              <w:t>Ngày tuyển dụng sớm A (hit/20)</w:t>
            </w:r>
          </w:p>
        </w:tc>
        <w:tc>
          <w:tcPr>
            <w:tcW w:type="dxa" w:w="1800"/>
            <w:shd w:fill="1F4E78"/>
            <w:vAlign w:val="center"/>
          </w:tcPr>
          <w:p>
            <w:r>
              <w:t>Ngày tuyển dụng sớm B (hit/20)</w:t>
            </w:r>
          </w:p>
        </w:tc>
        <w:tc>
          <w:tcPr>
            <w:tcW w:type="dxa" w:w="1440"/>
            <w:shd w:fill="1F4E78"/>
            <w:vAlign w:val="center"/>
          </w:tcPr>
          <w:p>
            <w:r>
              <w:t>250 ID cao nhất A/B (hit/20)</w:t>
            </w:r>
          </w:p>
        </w:tc>
      </w:tr>
      <w:tr>
        <w:tc>
          <w:tcPr>
            <w:tcW w:type="dxa" w:w="1656"/>
            <w:vAlign w:val="center"/>
          </w:tcPr>
          <w:p>
            <w:r>
              <w:t>d001</w:t>
            </w:r>
          </w:p>
        </w:tc>
        <w:tc>
          <w:tcPr>
            <w:tcW w:type="dxa" w:w="1728"/>
            <w:vAlign w:val="center"/>
          </w:tcPr>
          <w:p>
            <w:r>
              <w:t>0/20</w:t>
            </w:r>
          </w:p>
        </w:tc>
        <w:tc>
          <w:tcPr>
            <w:tcW w:type="dxa" w:w="1728"/>
            <w:vAlign w:val="center"/>
          </w:tcPr>
          <w:p>
            <w:r>
              <w:t>7/20</w:t>
            </w:r>
          </w:p>
        </w:tc>
        <w:tc>
          <w:tcPr>
            <w:tcW w:type="dxa" w:w="1800"/>
            <w:vAlign w:val="center"/>
          </w:tcPr>
          <w:p>
            <w:r>
              <w:t>0/20</w:t>
            </w:r>
          </w:p>
        </w:tc>
        <w:tc>
          <w:tcPr>
            <w:tcW w:type="dxa" w:w="1800"/>
            <w:vAlign w:val="center"/>
          </w:tcPr>
          <w:p>
            <w:r>
              <w:t>0/20</w:t>
            </w:r>
          </w:p>
        </w:tc>
        <w:tc>
          <w:tcPr>
            <w:tcW w:type="dxa" w:w="1440"/>
            <w:vAlign w:val="center"/>
          </w:tcPr>
          <w:p>
            <w:r>
              <w:t>20/20; 20/20</w:t>
            </w:r>
          </w:p>
        </w:tc>
      </w:tr>
      <w:tr>
        <w:tc>
          <w:tcPr>
            <w:tcW w:type="dxa" w:w="1656"/>
            <w:vAlign w:val="center"/>
          </w:tcPr>
          <w:p>
            <w:r>
              <w:t>d002</w:t>
            </w:r>
          </w:p>
        </w:tc>
        <w:tc>
          <w:tcPr>
            <w:tcW w:type="dxa" w:w="1728"/>
            <w:vAlign w:val="center"/>
          </w:tcPr>
          <w:p>
            <w:r>
              <w:t>13/20</w:t>
            </w:r>
          </w:p>
        </w:tc>
        <w:tc>
          <w:tcPr>
            <w:tcW w:type="dxa" w:w="1728"/>
            <w:vAlign w:val="center"/>
          </w:tcPr>
          <w:p>
            <w:r>
              <w:t>0/20</w:t>
            </w:r>
          </w:p>
        </w:tc>
        <w:tc>
          <w:tcPr>
            <w:tcW w:type="dxa" w:w="1800"/>
            <w:vAlign w:val="center"/>
          </w:tcPr>
          <w:p>
            <w:r>
              <w:t>0/20</w:t>
            </w:r>
          </w:p>
        </w:tc>
        <w:tc>
          <w:tcPr>
            <w:tcW w:type="dxa" w:w="1800"/>
            <w:vAlign w:val="center"/>
          </w:tcPr>
          <w:p>
            <w:r>
              <w:t>0/20</w:t>
            </w:r>
          </w:p>
        </w:tc>
        <w:tc>
          <w:tcPr>
            <w:tcW w:type="dxa" w:w="1440"/>
            <w:vAlign w:val="center"/>
          </w:tcPr>
          <w:p>
            <w:r>
              <w:t>20/20; 20/20</w:t>
            </w:r>
          </w:p>
        </w:tc>
      </w:tr>
      <w:tr>
        <w:tc>
          <w:tcPr>
            <w:tcW w:type="dxa" w:w="1694"/>
          </w:tcPr>
          <w:p>
            <w:r>
              <w:t>d003</w:t>
            </w:r>
          </w:p>
        </w:tc>
        <w:tc>
          <w:tcPr>
            <w:tcW w:type="dxa" w:w="1694"/>
          </w:tcPr>
          <w:p>
            <w:r>
              <w:t>1/20</w:t>
            </w:r>
          </w:p>
        </w:tc>
        <w:tc>
          <w:tcPr>
            <w:tcW w:type="dxa" w:w="1694"/>
          </w:tcPr>
          <w:p>
            <w:r>
              <w:t>6/20</w:t>
            </w:r>
          </w:p>
        </w:tc>
        <w:tc>
          <w:tcPr>
            <w:tcW w:type="dxa" w:w="1694"/>
          </w:tcPr>
          <w:p>
            <w:r>
              <w:t>0/20</w:t>
            </w:r>
          </w:p>
        </w:tc>
        <w:tc>
          <w:tcPr>
            <w:tcW w:type="dxa" w:w="1694"/>
          </w:tcPr>
          <w:p>
            <w:r>
              <w:t>0/20</w:t>
            </w:r>
          </w:p>
        </w:tc>
        <w:tc>
          <w:tcPr>
            <w:tcW w:type="dxa" w:w="1694"/>
          </w:tcPr>
          <w:p>
            <w:r>
              <w:t>20/20; 20/20</w:t>
            </w:r>
          </w:p>
        </w:tc>
      </w:tr>
      <w:tr>
        <w:tc>
          <w:tcPr>
            <w:tcW w:type="dxa" w:w="1694"/>
          </w:tcPr>
          <w:p>
            <w:r>
              <w:t>d004</w:t>
            </w:r>
          </w:p>
        </w:tc>
        <w:tc>
          <w:tcPr>
            <w:tcW w:type="dxa" w:w="1694"/>
          </w:tcPr>
          <w:p>
            <w:r>
              <w:t>7/20</w:t>
            </w:r>
          </w:p>
        </w:tc>
        <w:tc>
          <w:tcPr>
            <w:tcW w:type="dxa" w:w="1694"/>
          </w:tcPr>
          <w:p>
            <w:r>
              <w:t>3/20</w:t>
            </w:r>
          </w:p>
        </w:tc>
        <w:tc>
          <w:tcPr>
            <w:tcW w:type="dxa" w:w="1694"/>
          </w:tcPr>
          <w:p>
            <w:r>
              <w:t>0/20</w:t>
            </w:r>
          </w:p>
        </w:tc>
        <w:tc>
          <w:tcPr>
            <w:tcW w:type="dxa" w:w="1694"/>
          </w:tcPr>
          <w:p>
            <w:r>
              <w:t>20/20</w:t>
            </w:r>
          </w:p>
        </w:tc>
        <w:tc>
          <w:tcPr>
            <w:tcW w:type="dxa" w:w="1694"/>
          </w:tcPr>
          <w:p>
            <w:r>
              <w:t>20/20; 20/20</w:t>
            </w:r>
          </w:p>
        </w:tc>
      </w:tr>
      <w:tr>
        <w:tc>
          <w:tcPr>
            <w:tcW w:type="dxa" w:w="1694"/>
          </w:tcPr>
          <w:p>
            <w:r>
              <w:t>d005</w:t>
            </w:r>
          </w:p>
        </w:tc>
        <w:tc>
          <w:tcPr>
            <w:tcW w:type="dxa" w:w="1694"/>
          </w:tcPr>
          <w:p>
            <w:r>
              <w:t>2/20</w:t>
            </w:r>
          </w:p>
        </w:tc>
        <w:tc>
          <w:tcPr>
            <w:tcW w:type="dxa" w:w="1694"/>
          </w:tcPr>
          <w:p>
            <w:r>
              <w:t>3/20</w:t>
            </w:r>
          </w:p>
        </w:tc>
        <w:tc>
          <w:tcPr>
            <w:tcW w:type="dxa" w:w="1694"/>
          </w:tcPr>
          <w:p>
            <w:r>
              <w:t>0/20</w:t>
            </w:r>
          </w:p>
        </w:tc>
        <w:tc>
          <w:tcPr>
            <w:tcW w:type="dxa" w:w="1694"/>
          </w:tcPr>
          <w:p>
            <w:r>
              <w:t>0/20</w:t>
            </w:r>
          </w:p>
        </w:tc>
        <w:tc>
          <w:tcPr>
            <w:tcW w:type="dxa" w:w="1694"/>
          </w:tcPr>
          <w:p>
            <w:r>
              <w:t>20/20; 20/20</w:t>
            </w:r>
          </w:p>
        </w:tc>
      </w:tr>
      <w:tr>
        <w:tc>
          <w:tcPr>
            <w:tcW w:type="dxa" w:w="1694"/>
          </w:tcPr>
          <w:p>
            <w:r>
              <w:t>d006</w:t>
            </w:r>
          </w:p>
        </w:tc>
        <w:tc>
          <w:tcPr>
            <w:tcW w:type="dxa" w:w="1694"/>
          </w:tcPr>
          <w:p>
            <w:r>
              <w:t>0/20</w:t>
            </w:r>
          </w:p>
        </w:tc>
        <w:tc>
          <w:tcPr>
            <w:tcW w:type="dxa" w:w="1694"/>
          </w:tcPr>
          <w:p>
            <w:r>
              <w:t>7/20</w:t>
            </w:r>
          </w:p>
        </w:tc>
        <w:tc>
          <w:tcPr>
            <w:tcW w:type="dxa" w:w="1694"/>
          </w:tcPr>
          <w:p>
            <w:r>
              <w:t>20/20</w:t>
            </w:r>
          </w:p>
        </w:tc>
        <w:tc>
          <w:tcPr>
            <w:tcW w:type="dxa" w:w="1694"/>
          </w:tcPr>
          <w:p>
            <w:r>
              <w:t>0/20</w:t>
            </w:r>
          </w:p>
        </w:tc>
        <w:tc>
          <w:tcPr>
            <w:tcW w:type="dxa" w:w="1694"/>
          </w:tcPr>
          <w:p>
            <w:r>
              <w:t>20/20; 20/20</w:t>
            </w:r>
          </w:p>
        </w:tc>
      </w:tr>
      <w:tr>
        <w:tc>
          <w:tcPr>
            <w:tcW w:type="dxa" w:w="1694"/>
          </w:tcPr>
          <w:p>
            <w:r>
              <w:t>d007</w:t>
            </w:r>
          </w:p>
        </w:tc>
        <w:tc>
          <w:tcPr>
            <w:tcW w:type="dxa" w:w="1694"/>
          </w:tcPr>
          <w:p>
            <w:r>
              <w:t>0/20</w:t>
            </w:r>
          </w:p>
        </w:tc>
        <w:tc>
          <w:tcPr>
            <w:tcW w:type="dxa" w:w="1694"/>
          </w:tcPr>
          <w:p>
            <w:r>
              <w:t>4/20</w:t>
            </w:r>
          </w:p>
        </w:tc>
        <w:tc>
          <w:tcPr>
            <w:tcW w:type="dxa" w:w="1694"/>
          </w:tcPr>
          <w:p>
            <w:r>
              <w:t>0/20</w:t>
            </w:r>
          </w:p>
        </w:tc>
        <w:tc>
          <w:tcPr>
            <w:tcW w:type="dxa" w:w="1694"/>
          </w:tcPr>
          <w:p>
            <w:r>
              <w:t>0/20</w:t>
            </w:r>
          </w:p>
        </w:tc>
        <w:tc>
          <w:tcPr>
            <w:tcW w:type="dxa" w:w="1694"/>
          </w:tcPr>
          <w:p>
            <w:r>
              <w:t>20/20; 20/20</w:t>
            </w:r>
          </w:p>
        </w:tc>
      </w:tr>
      <w:tr>
        <w:tc>
          <w:tcPr>
            <w:tcW w:type="dxa" w:w="1694"/>
          </w:tcPr>
          <w:p>
            <w:r>
              <w:t>d008</w:t>
            </w:r>
          </w:p>
        </w:tc>
        <w:tc>
          <w:tcPr>
            <w:tcW w:type="dxa" w:w="1694"/>
          </w:tcPr>
          <w:p>
            <w:r>
              <w:t>7/20</w:t>
            </w:r>
          </w:p>
        </w:tc>
        <w:tc>
          <w:tcPr>
            <w:tcW w:type="dxa" w:w="1694"/>
          </w:tcPr>
          <w:p>
            <w:r>
              <w:t>10/20</w:t>
            </w:r>
          </w:p>
        </w:tc>
        <w:tc>
          <w:tcPr>
            <w:tcW w:type="dxa" w:w="1694"/>
          </w:tcPr>
          <w:p>
            <w:r>
              <w:t>0/20</w:t>
            </w:r>
          </w:p>
        </w:tc>
        <w:tc>
          <w:tcPr>
            <w:tcW w:type="dxa" w:w="1694"/>
          </w:tcPr>
          <w:p>
            <w:r>
              <w:t>0/20</w:t>
            </w:r>
          </w:p>
        </w:tc>
        <w:tc>
          <w:tcPr>
            <w:tcW w:type="dxa" w:w="1694"/>
          </w:tcPr>
          <w:p>
            <w:r>
              <w:t>20/20; 20/20</w:t>
            </w:r>
          </w:p>
        </w:tc>
      </w:tr>
      <w:tr>
        <w:tc>
          <w:tcPr>
            <w:tcW w:type="dxa" w:w="1694"/>
          </w:tcPr>
          <w:p>
            <w:r>
              <w:t>d009</w:t>
            </w:r>
          </w:p>
        </w:tc>
        <w:tc>
          <w:tcPr>
            <w:tcW w:type="dxa" w:w="1694"/>
          </w:tcPr>
          <w:p>
            <w:r>
              <w:t>0/20</w:t>
            </w:r>
          </w:p>
        </w:tc>
        <w:tc>
          <w:tcPr>
            <w:tcW w:type="dxa" w:w="1694"/>
          </w:tcPr>
          <w:p>
            <w:r>
              <w:t>10/20</w:t>
            </w:r>
          </w:p>
        </w:tc>
        <w:tc>
          <w:tcPr>
            <w:tcW w:type="dxa" w:w="1694"/>
          </w:tcPr>
          <w:p>
            <w:r>
              <w:t>0/20</w:t>
            </w:r>
          </w:p>
        </w:tc>
        <w:tc>
          <w:tcPr>
            <w:tcW w:type="dxa" w:w="1694"/>
          </w:tcPr>
          <w:p>
            <w:r>
              <w:t>0/20</w:t>
            </w:r>
          </w:p>
        </w:tc>
        <w:tc>
          <w:tcPr>
            <w:tcW w:type="dxa" w:w="1694"/>
          </w:tcPr>
          <w:p>
            <w:r>
              <w:t>20/20; 20/20</w:t>
            </w:r>
          </w:p>
        </w:tc>
      </w:tr>
      <w:tr>
        <w:tc>
          <w:tcPr>
            <w:tcW w:type="dxa" w:w="1694"/>
          </w:tcPr>
          <w:p>
            <w:r>
              <w:t>Tổng (360 phiên chính)</w:t>
            </w:r>
          </w:p>
        </w:tc>
        <w:tc>
          <w:tcPr>
            <w:tcW w:type="dxa" w:w="1694"/>
          </w:tcPr>
          <w:p>
            <w:r>
              <w:t>30/180</w:t>
            </w:r>
          </w:p>
        </w:tc>
        <w:tc>
          <w:tcPr>
            <w:tcW w:type="dxa" w:w="1694"/>
          </w:tcPr>
          <w:p>
            <w:r>
              <w:t>50/180</w:t>
            </w:r>
          </w:p>
        </w:tc>
        <w:tc>
          <w:tcPr>
            <w:tcW w:type="dxa" w:w="1694"/>
          </w:tcPr>
          <w:p>
            <w:r>
              <w:t>20/180</w:t>
            </w:r>
          </w:p>
        </w:tc>
        <w:tc>
          <w:tcPr>
            <w:tcW w:type="dxa" w:w="1694"/>
          </w:tcPr>
          <w:p>
            <w:r>
              <w:t>20/180</w:t>
            </w:r>
          </w:p>
        </w:tc>
        <w:tc>
          <w:tcPr>
            <w:tcW w:type="dxa" w:w="1694"/>
          </w:tcPr>
          <w:p>
            <w:r>
              <w:t>180/180; 180/180</w:t>
            </w:r>
          </w:p>
        </w:tc>
      </w:tr>
    </w:tbl>
    <w:p>
      <w:pPr>
        <w:spacing w:after="40"/>
      </w:pPr>
    </w:p>
    <w:p>
      <w:r>
        <w:t>Trong 360 phiên placement chính mỗi demo, Demo A có token hit ở 50 phiên (13,9%) và trả về 53 lượt dòng token; Demo B có hit ở 70 phiên (19,4%) và trả về 71 lượt dòng token. B hơn A 20 phiên hit, tương đương chênh lệch 5,6 điểm phần trăm trong bộ kiểm thử này. Tách theo cách truy vấn: mẫu seeded có hit ở A 30/180 (16,7%) và B 50/180 (27,8%); truy vấn ngày tuyển dụng sớm có hit ở cả A và B 20/180 (11,1%). Truy vấn 250 ID cao nhất hit ở 180/180 phiên cho cả hai, nên chỉ được xem là kiểm tra bão hòa. Kết quả cho thấy lợi thế quan sát được của B tập trung ở truy vấn mẫu seeded; chưa đủ để khẳng định khả năng khái quát ngoài dữ liệu/kịch bản lab.</w:t>
      </w:r>
    </w:p>
    <w:p>
      <w:pPr>
        <w:pStyle w:val="Heading1"/>
      </w:pPr>
      <w:r>
        <w:t>4. Hướng dẫn chạy lại từ đầu</w:t>
      </w:r>
    </w:p>
    <w:p>
      <w:r>
        <w:t>Trước khi bắt đầu: hai file .env phải cùng trỏ tới DB_HOST=localhost, DB_PORT=3306, DB_NAME=employee; schema security và các tài khoản reader/monitor đã tồn tại. Dùng PowerShell. Không chạy reset trên database ngoài lab.</w:t>
      </w:r>
    </w:p>
    <w:p>
      <w:pPr>
        <w:pStyle w:val="Heading2"/>
      </w:pPr>
      <w:r>
        <w:t>Bước 1 — xem trước và xóa token cũ</w:t>
      </w:r>
    </w:p>
    <w:p>
      <w:pPr>
        <w:spacing w:after="20"/>
        <w:ind w:left="259"/>
      </w:pPr>
      <w:r>
        <w:rPr>
          <w:rFonts w:ascii="Cascadia Mono" w:hAnsi="Cascadia Mono" w:eastAsia="Cascadia Mono"/>
          <w:sz w:val="17"/>
        </w:rPr>
        <w:t>Set-Location D:\FPTU\Course\DBS401_Project\DemoB</w:t>
      </w:r>
    </w:p>
    <w:p>
      <w:pPr>
        <w:spacing w:after="20"/>
        <w:ind w:left="259"/>
      </w:pPr>
      <w:r>
        <w:rPr>
          <w:rFonts w:ascii="Cascadia Mono" w:hAnsi="Cascadia Mono" w:eastAsia="Cascadia Mono"/>
          <w:sz w:val="17"/>
        </w:rPr>
        <w:t>.\.venv\Scripts\Activate.ps1</w:t>
      </w:r>
    </w:p>
    <w:p>
      <w:pPr>
        <w:spacing w:after="20"/>
        <w:ind w:left="259"/>
      </w:pPr>
      <w:r>
        <w:rPr>
          <w:rFonts w:ascii="Cascadia Mono" w:hAnsi="Cascadia Mono" w:eastAsia="Cascadia Mono"/>
          <w:sz w:val="17"/>
        </w:rPr>
        <w:t>python database\reset_lab_honeytokens.py</w:t>
      </w:r>
    </w:p>
    <w:p>
      <w:r>
        <w:t>Lệnh đầu chỉ dry-run và in số hàng trong các dải 900001–900050, 910001–910050, 910051–910100. Xác nhận phạm vi trước. Lệnh sau mới xóa:</w:t>
      </w:r>
    </w:p>
    <w:p>
      <w:pPr>
        <w:spacing w:after="20"/>
        <w:ind w:left="259"/>
      </w:pPr>
      <w:r>
        <w:rPr>
          <w:rFonts w:ascii="Cascadia Mono" w:hAnsi="Cascadia Mono" w:eastAsia="Cascadia Mono"/>
          <w:sz w:val="17"/>
        </w:rPr>
        <w:t>python database\reset_lab_honeytokens.py --apply</w:t>
      </w:r>
    </w:p>
    <w:p>
      <w:r>
        <w:t>Reset --apply xóa token rows và dòng con trong các dải đã liệt kê, registry, toàn bộ access_events/security_alerts của A và B; đồng thời xóa kết quả CSV/JSON, SQLite telemetry, placement history và model artifacts mà dashboard đọc. Schema và employee thường được giữ. File live_attack_query_results.before-reset.csv là bản sao lưu riêng, không được dashboard đọc nên giữ lại. Sau reset, các tab chỉ hiện kết quả sau khi người dùng tự chạy capture/train hoặc benchmark lại.</w:t>
      </w:r>
    </w:p>
    <w:p>
      <w:pPr>
        <w:pStyle w:val="Heading2"/>
      </w:pPr>
      <w:r>
        <w:t>Bước 2 — sinh và nạp Demo A</w:t>
      </w:r>
    </w:p>
    <w:p>
      <w:pPr>
        <w:spacing w:after="20"/>
        <w:ind w:left="259"/>
      </w:pPr>
      <w:r>
        <w:rPr>
          <w:rFonts w:ascii="Cascadia Mono" w:hAnsi="Cascadia Mono" w:eastAsia="Cascadia Mono"/>
          <w:sz w:val="17"/>
        </w:rPr>
        <w:t>Set-Location D:\FPTU\Course\DBS401_Project\DemoA</w:t>
      </w:r>
    </w:p>
    <w:p>
      <w:pPr>
        <w:spacing w:after="20"/>
        <w:ind w:left="259"/>
      </w:pPr>
      <w:r>
        <w:rPr>
          <w:rFonts w:ascii="Cascadia Mono" w:hAnsi="Cascadia Mono" w:eastAsia="Cascadia Mono"/>
          <w:sz w:val="17"/>
        </w:rPr>
        <w:t>python database\generate_hma_honeytokens.py --reuse-model</w:t>
      </w:r>
    </w:p>
    <w:p>
      <w:pPr>
        <w:spacing w:after="20"/>
        <w:ind w:left="259"/>
      </w:pPr>
      <w:r>
        <w:rPr>
          <w:rFonts w:ascii="Cascadia Mono" w:hAnsi="Cascadia Mono" w:eastAsia="Cascadia Mono"/>
          <w:sz w:val="17"/>
        </w:rPr>
        <w:t>python database\apply_hma_honeytokens.py</w:t>
      </w:r>
    </w:p>
    <w:p>
      <w:pPr>
        <w:spacing w:after="20"/>
        <w:ind w:left="259"/>
      </w:pPr>
      <w:r>
        <w:rPr>
          <w:rFonts w:ascii="Cascadia Mono" w:hAnsi="Cascadia Mono" w:eastAsia="Cascadia Mono"/>
          <w:sz w:val="17"/>
        </w:rPr>
        <w:t>python database\apply_hma_honeytokens.py --apply --admin</w:t>
      </w:r>
    </w:p>
    <w:p>
      <w:r>
        <w:t>Lệnh apply đầu là dry-run. Nếu chưa có database/hma_artifacts/employee_hma.pkl, bỏ --reuse-model; HMA sẽ fit model và có thể mất nhiều thời gian. Apply ghi candidate HMA vào MySQL.</w:t>
      </w:r>
    </w:p>
    <w:p>
      <w:pPr>
        <w:pStyle w:val="Heading2"/>
      </w:pPr>
      <w:r>
        <w:t>Bước 3 — huấn luyện RF khởi tạo cho B</w:t>
      </w:r>
    </w:p>
    <w:p>
      <w:pPr>
        <w:spacing w:after="20"/>
        <w:ind w:left="259"/>
      </w:pPr>
      <w:r>
        <w:rPr>
          <w:rFonts w:ascii="Cascadia Mono" w:hAnsi="Cascadia Mono" w:eastAsia="Cascadia Mono"/>
          <w:sz w:val="17"/>
        </w:rPr>
        <w:t>Set-Location D:\FPTU\Course\DBS401_Project\DemoB</w:t>
      </w:r>
    </w:p>
    <w:p>
      <w:pPr>
        <w:spacing w:after="20"/>
        <w:ind w:left="259"/>
      </w:pPr>
      <w:r>
        <w:rPr>
          <w:rFonts w:ascii="Cascadia Mono" w:hAnsi="Cascadia Mono" w:eastAsia="Cascadia Mono"/>
          <w:sz w:val="17"/>
        </w:rPr>
        <w:t>python evaluation\run_live_attack_simulation.py --capture-only --bootstrap-rf</w:t>
      </w:r>
    </w:p>
    <w:p>
      <w:pPr>
        <w:spacing w:after="20"/>
        <w:ind w:left="259"/>
      </w:pPr>
      <w:r>
        <w:rPr>
          <w:rFonts w:ascii="Cascadia Mono" w:hAnsi="Cascadia Mono" w:eastAsia="Cascadia Mono"/>
          <w:sz w:val="17"/>
        </w:rPr>
        <w:t>python evaluation\train_live_model.py</w:t>
      </w:r>
    </w:p>
    <w:p>
      <w:r>
        <w:t>Bootstrap cho phép B chưa có token để tạo telemetry huấn luyện. Capture sẽ ghi đè results/live_attack_query_results.csv và train cập nhật artifacts kết quả; sao lưu CSV của bạn trước nếu muốn giữ bản hiện có. Kết quả bootstrap không phải phép đo placement.</w:t>
      </w:r>
    </w:p>
    <w:p>
      <w:pPr>
        <w:pStyle w:val="Heading2"/>
      </w:pPr>
      <w:r>
        <w:t>Bước 4 — ghi điểm rủi ro theo department</w:t>
      </w:r>
    </w:p>
    <w:p>
      <w:pPr>
        <w:spacing w:after="20"/>
        <w:ind w:left="259"/>
      </w:pPr>
      <w:r>
        <w:rPr>
          <w:rFonts w:ascii="Cascadia Mono" w:hAnsi="Cascadia Mono" w:eastAsia="Cascadia Mono"/>
          <w:sz w:val="17"/>
        </w:rPr>
        <w:t>python monitoring\query_gateway.py --department d001 --limit 100</w:t>
      </w:r>
    </w:p>
    <w:p>
      <w:pPr>
        <w:spacing w:after="20"/>
        <w:ind w:left="259"/>
      </w:pPr>
      <w:r>
        <w:rPr>
          <w:rFonts w:ascii="Cascadia Mono" w:hAnsi="Cascadia Mono" w:eastAsia="Cascadia Mono"/>
          <w:sz w:val="17"/>
        </w:rPr>
        <w:t>python monitoring\query_gateway.py --department d002 --limit 100</w:t>
      </w:r>
    </w:p>
    <w:p>
      <w:pPr>
        <w:spacing w:after="20"/>
        <w:ind w:left="259"/>
      </w:pPr>
      <w:r>
        <w:rPr>
          <w:rFonts w:ascii="Cascadia Mono" w:hAnsi="Cascadia Mono" w:eastAsia="Cascadia Mono"/>
          <w:sz w:val="17"/>
        </w:rPr>
        <w:t>python monitoring\query_gateway.py --department d003 --limit 100</w:t>
      </w:r>
    </w:p>
    <w:p>
      <w:pPr>
        <w:spacing w:after="20"/>
        <w:ind w:left="259"/>
      </w:pPr>
      <w:r>
        <w:rPr>
          <w:rFonts w:ascii="Cascadia Mono" w:hAnsi="Cascadia Mono" w:eastAsia="Cascadia Mono"/>
          <w:sz w:val="17"/>
        </w:rPr>
        <w:t>python monitoring\query_gateway.py --department d004 --limit 100</w:t>
      </w:r>
    </w:p>
    <w:p>
      <w:pPr>
        <w:spacing w:after="20"/>
        <w:ind w:left="259"/>
      </w:pPr>
      <w:r>
        <w:rPr>
          <w:rFonts w:ascii="Cascadia Mono" w:hAnsi="Cascadia Mono" w:eastAsia="Cascadia Mono"/>
          <w:sz w:val="17"/>
        </w:rPr>
        <w:t>python monitoring\query_gateway.py --department d005 --limit 100</w:t>
      </w:r>
    </w:p>
    <w:p>
      <w:pPr>
        <w:spacing w:after="20"/>
        <w:ind w:left="259"/>
      </w:pPr>
      <w:r>
        <w:rPr>
          <w:rFonts w:ascii="Cascadia Mono" w:hAnsi="Cascadia Mono" w:eastAsia="Cascadia Mono"/>
          <w:sz w:val="17"/>
        </w:rPr>
        <w:t>python monitoring\query_gateway.py --department d006 --limit 100</w:t>
      </w:r>
    </w:p>
    <w:p>
      <w:pPr>
        <w:spacing w:after="20"/>
        <w:ind w:left="259"/>
      </w:pPr>
      <w:r>
        <w:rPr>
          <w:rFonts w:ascii="Cascadia Mono" w:hAnsi="Cascadia Mono" w:eastAsia="Cascadia Mono"/>
          <w:sz w:val="17"/>
        </w:rPr>
        <w:t>python monitoring\query_gateway.py --department d007 --limit 100</w:t>
      </w:r>
    </w:p>
    <w:p>
      <w:pPr>
        <w:spacing w:after="20"/>
        <w:ind w:left="259"/>
      </w:pPr>
      <w:r>
        <w:rPr>
          <w:rFonts w:ascii="Cascadia Mono" w:hAnsi="Cascadia Mono" w:eastAsia="Cascadia Mono"/>
          <w:sz w:val="17"/>
        </w:rPr>
        <w:t>python monitoring\query_gateway.py --department d008 --limit 100</w:t>
      </w:r>
    </w:p>
    <w:p>
      <w:pPr>
        <w:spacing w:after="20"/>
        <w:ind w:left="259"/>
      </w:pPr>
      <w:r>
        <w:rPr>
          <w:rFonts w:ascii="Cascadia Mono" w:hAnsi="Cascadia Mono" w:eastAsia="Cascadia Mono"/>
          <w:sz w:val="17"/>
        </w:rPr>
        <w:t>python monitoring\query_gateway.py --department d009 --limit 100</w:t>
      </w:r>
    </w:p>
    <w:p>
      <w:r>
        <w:t>Các lệnh trên đi qua gateway, dùng model RF vừa train và lưu điểm theo phòng ban vào results/behavior_events.sqlite3.</w:t>
      </w:r>
    </w:p>
    <w:p>
      <w:pPr>
        <w:pStyle w:val="Heading2"/>
      </w:pPr>
      <w:r>
        <w:t>Bước 5 — sinh và nạp Demo B</w:t>
      </w:r>
    </w:p>
    <w:p>
      <w:pPr>
        <w:spacing w:after="20"/>
        <w:ind w:left="259"/>
      </w:pPr>
      <w:r>
        <w:rPr>
          <w:rFonts w:ascii="Cascadia Mono" w:hAnsi="Cascadia Mono" w:eastAsia="Cascadia Mono"/>
          <w:sz w:val="17"/>
        </w:rPr>
        <w:t>python database\generate_rf_honeytokens.py</w:t>
      </w:r>
    </w:p>
    <w:p>
      <w:pPr>
        <w:spacing w:after="20"/>
        <w:ind w:left="259"/>
      </w:pPr>
      <w:r>
        <w:rPr>
          <w:rFonts w:ascii="Cascadia Mono" w:hAnsi="Cascadia Mono" w:eastAsia="Cascadia Mono"/>
          <w:sz w:val="17"/>
        </w:rPr>
        <w:t>python database\apply_rf_honeytokens.py</w:t>
      </w:r>
    </w:p>
    <w:p>
      <w:pPr>
        <w:spacing w:after="20"/>
        <w:ind w:left="259"/>
      </w:pPr>
      <w:r>
        <w:rPr>
          <w:rFonts w:ascii="Cascadia Mono" w:hAnsi="Cascadia Mono" w:eastAsia="Cascadia Mono"/>
          <w:sz w:val="17"/>
        </w:rPr>
        <w:t>python database\apply_rf_honeytokens.py --apply --admin</w:t>
      </w:r>
    </w:p>
    <w:p>
      <w:r>
        <w:t>Generator B chỉ ghi candidates vào database/rf_artifacts. Apply đầu là dry-run; apply cuối mới nạp MySQL. B tái sử dụng nội dung HMA, còn phân bố department được tính từ risk score RF.</w:t>
      </w:r>
    </w:p>
    <w:p>
      <w:pPr>
        <w:pStyle w:val="Heading2"/>
      </w:pPr>
      <w:r>
        <w:t>Bước 6 — chạy cùng mục tiêu attacker và mở dashboard</w:t>
      </w:r>
    </w:p>
    <w:p>
      <w:pPr>
        <w:spacing w:after="20"/>
        <w:ind w:left="259"/>
      </w:pPr>
      <w:r>
        <w:t>python evaluation\\run_live_attack_simulation.py --capture-only --repeats 20</w:t>
      </w:r>
    </w:p>
    <w:p>
      <w:pPr>
        <w:spacing w:after="20"/>
        <w:ind w:left="259"/>
      </w:pPr>
      <w:r>
        <w:rPr>
          <w:rFonts w:ascii="Cascadia Mono" w:hAnsi="Cascadia Mono" w:eastAsia="Cascadia Mono"/>
          <w:sz w:val="17"/>
        </w:rPr>
        <w:t>python evaluation\train_live_model.py</w:t>
      </w:r>
    </w:p>
    <w:p>
      <w:pPr>
        <w:spacing w:after="20"/>
        <w:ind w:left="259"/>
      </w:pPr>
      <w:r>
        <w:t>python evaluation\\run_common_scenarios.py</w:t>
      </w:r>
    </w:p>
    <w:p>
      <w:r>
        <w:t>python -m streamlit run dashboard\\app.py</w:t>
      </w:r>
    </w:p>
    <w:p>
      <w:r>
        <w:t>Dashboard có ba tab: hiệu quả vị trí, cảnh báo/phát hiện hành vi ML trên MySQL lab và benchmark hành vi tổng hợp. Benchmark dùng dữ liệu NumPy riêng, không trộn với kết quả live. Reset xóa kết quả cũ; dashboard chỉ hiện dữ liệu sau khi capture/train/benchmark được chạy lại.</w:t>
      </w:r>
    </w:p>
    <w:p>
      <w:pPr>
        <w:pStyle w:val="Heading1"/>
      </w:pPr>
      <w:r>
        <w:t>5. Diễn giải và giới hạn</w:t>
      </w:r>
    </w:p>
    <w:p>
      <w:pPr>
        <w:pStyle w:val="ListBullet"/>
      </w:pPr>
      <w:r>
        <w:t>Employee Sample Database là dữ liệu mẫu; không chứa hành vi nhân viên thực tế.</w:t>
      </w:r>
    </w:p>
    <w:p>
      <w:pPr>
        <w:pStyle w:val="ListBullet"/>
      </w:pPr>
      <w:r>
        <w:t>Demo B Random Forest được huấn luyện trên telemetry truy vấn MySQL lab; nhãn đáng ngờ/bình thường do kịch bản thử nghiệm gán, không phải dữ liệu tấn công thực. Mô hình được dùng cho cả chấm rủi ro phòng ban và phân loại hành vi trong phạm vi demo.</w:t>
      </w:r>
    </w:p>
    <w:p>
      <w:pPr>
        <w:pStyle w:val="ListBullet"/>
      </w:pPr>
      <w:r>
        <w:t>Risk allocation của B phụ thuộc vào các truy vấn department đã ghi trong behavior_events.sqlite3; ghi telemetry trước khi sinh candidates B.</w:t>
      </w:r>
    </w:p>
    <w:p>
      <w:pPr>
        <w:pStyle w:val="ListBullet"/>
      </w:pPr>
      <w:r>
        <w:t>Kết quả placement mới: 50/360 phiên hit ở A và 70/360 ở B trên lấy mẫu seeded/ngày tuyển dụng sớm. Với truy vấn 250 ID cao nhất, cả hai đều 180/180; phép này bão hòa và không phân biệt được hai cách chọn vị trí. Các con số chỉ mô tả dataset, seed và script hiện tại.</w:t>
      </w:r>
    </w:p>
    <w:p>
      <w:pPr>
        <w:pStyle w:val="ListBullet"/>
      </w:pPr>
      <w:r>
        <w:t>Kết quả cảnh báo ML và placement đo hai mục tiêu khác nhau. Demo B tốt hơn theo tỷ lệ hit placement trong bộ truy vấn mẫu seeded, còn truy vấn ngày tuyển dụng sớm ngang nhau; cần thêm lượt/kiểu truy vấn độc lập để đánh giá độ ổn định. Chưa có đánh giá người dùng về độ tin cậy honeytoken như trong bài báo gốc.</w:t>
      </w:r>
    </w:p>
    <w:p>
      <w:pPr>
        <w:pStyle w:val="Heading1"/>
      </w:pPr>
      <w:r>
        <w:t>6. Nguồn tham khảo</w:t>
      </w:r>
    </w:p>
    <w:p>
      <w:pPr>
        <w:pStyle w:val="ListBullet"/>
      </w:pPr>
      <w:r>
        <w:t>Bopche và cộng sự (2024), Generation and deployment of honeytokens in relational databases for cyber deception, Computers &amp; Security 146, 104032. https://doi.org/10.1016/j.cose.2024.104032</w:t>
      </w:r>
    </w:p>
    <w:p>
      <w:pPr>
        <w:pStyle w:val="ListBullet"/>
      </w:pPr>
      <w:r>
        <w:t>Bytebase Employee Sample Database, dataset_large. https://github.com/bytebase/employee-sample-database/tree/main/mysql</w:t>
      </w:r>
    </w:p>
    <w:p>
      <w:pPr>
        <w:pStyle w:val="ListBullet"/>
      </w:pPr>
      <w:r>
        <w:t>Synthetic Data Vault documentation. https://docs.sdv.dev/sdv</w:t>
      </w:r>
    </w:p>
    <w:p>
      <w:pPr>
        <w:pStyle w:val="ListBullet"/>
      </w:pPr>
      <w:r>
        <w:t>PhoneLab SQL trace paper. https://odin.cse.buffalo.edu/papers/2015/TPCTC-sqlite-final.pdf</w:t>
      </w:r>
    </w:p>
    <w:p>
      <w:pPr>
        <w:pStyle w:val="ListBullet"/>
      </w:pPr>
      <w:r>
        <w:t>LANL Cyber Security Research data. https://csr.lanl.gov/data/</w:t>
      </w:r>
    </w:p>
    <w:sectPr w:rsidR="00FC693F" w:rsidRPr="0006063C" w:rsidSect="00034616">
      <w:footerReference w:type="default" r:id="rId9"/>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DBS401 Honeytoken  |  Phương pháp và kết quả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eastAsia="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eastAsia="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eastAsia="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