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pPr>
      <w:r>
        <w:rPr>
          <w:rFonts w:ascii="Arial" w:cs="Arial" w:eastAsia="Arial" w:hAnsi="Arial"/>
          <w:b/>
          <w:bCs/>
          <w:caps/>
          <w:color w:val="666666"/>
          <w:sz w:val="16"/>
          <w:szCs w:val="16"/>
        </w:rPr>
        <w:t xml:space="preserve">DAY 28 · AI-IN-ACTION · TRACK 1</w:t>
      </w:r>
    </w:p>
    <w:p>
      <w:pPr>
        <w:spacing w:after="60" w:before="0"/>
      </w:pPr>
      <w:r>
        <w:rPr>
          <w:rFonts w:ascii="Arial" w:cs="Arial" w:eastAsia="Arial" w:hAnsi="Arial"/>
          <w:b/>
          <w:bCs/>
          <w:sz w:val="32"/>
          <w:szCs w:val="32"/>
        </w:rPr>
        <w:t xml:space="preserve">MONETIZATION ONE-PAGER</w:t>
      </w:r>
    </w:p>
    <w:p>
      <w:pPr>
        <w:spacing w:after="40" w:before="0"/>
      </w:pPr>
      <w:r>
        <w:rPr>
          <w:rFonts w:ascii="Arial" w:cs="Arial" w:eastAsia="Arial" w:hAnsi="Arial"/>
          <w:color w:val="666666"/>
          <w:sz w:val="18"/>
          <w:szCs w:val="18"/>
        </w:rPr>
        <w:t>Tên / Nhóm: Lê Quang Huy — 2A202601821 (nhóm T121)     Sản phẩm: WalletCare / FIN-05 — AI Agent CSKH ví điện tử &amp; xử lý khiếu nại giao dịch</w:t>
      </w:r>
    </w:p>
    <w:p>
      <w:pPr>
        <w:pBdr>
          <w:bottom w:val="single" w:color="CCCCCC" w:sz="6" w:space="4"/>
        </w:pBdr>
        <w:spacing w:after="60" w:before="0"/>
      </w:pPr>
      <w:r>
        <w:rPr>
          <w:rFonts w:ascii="Arial" w:cs="Arial" w:eastAsia="Arial" w:hAnsi="Arial"/>
          <w:color w:val="666666"/>
          <w:sz w:val="18"/>
          <w:szCs w:val="18"/>
        </w:rPr>
        <w:t>Value Metric đã chọn: HYBRID     Kênh đã chọn: SALES-LED (named account)     Ngày: 27/08/2026</w:t>
      </w:r>
    </w:p>
    <w:p>
      <w:pPr>
        <w:spacing w:after="200" w:before="0"/>
      </w:pPr>
      <w:r>
        <w:rPr>
          <w:rFonts w:ascii="Arial" w:cs="Arial" w:eastAsia="Arial" w:hAnsi="Arial"/>
          <w:i/>
          <w:iCs/>
          <w:color w:val="666666"/>
          <w:sz w:val="16"/>
          <w:szCs w:val="16"/>
        </w:rPr>
        <w:t>Mọi con số dưới đây truy được về một ô trong 2A202601821_LeQuangHuy_Day25_model.xlsx (tên ô ghi ở cột phải mỗi bảng). PHÁN QUYẾT ĐỌC TRƯỚC: bảng giá này cần tỷ lệ hồ sơ điều tra được duyệt ngay lần trình đầu đạt ≥ 43,26%; lượt eval có provenance ngày 27/08/2026 đo được 1,03% (1/97 ca kỳ vọng). Quy ra tỷ lệ hoàn thành job chỉ còn 49,87% và bội số tụt xuống 2,79× — trượt ngưỡng 3×. Vậy nên CHƯA ĐƯỢC KÝ HỢP ĐỒNG theo bảng giá này, và tháng đầu của kế hoạch 90 ngày cố ý đặt mục tiêu ký 0 hợp đồng. Nguyên nhân là HỆ THỐNG (business_config rỗng → prompt rơi về khung chung), không phải model yếu — khoảng cách đóng được, nhưng phải đóng TRƯỚC khi ký.</w:t>
      </w:r>
    </w:p>
    <w:p>
      <w:pPr>
        <w:spacing w:after="100" w:before="0"/>
      </w:pPr>
      <w:r>
        <w:rPr>
          <w:rFonts w:ascii="Arial" w:cs="Arial" w:eastAsia="Arial" w:hAnsi="Arial"/>
          <w:b/>
          <w:bCs/>
          <w:color w:val="4F46E5"/>
          <w:sz w:val="24"/>
          <w:szCs w:val="24"/>
        </w:rPr>
        <w:t xml:space="preserve">1 · PRICING</w:t>
      </w:r>
    </w:p>
    <w:p>
      <w:pPr>
        <w:spacing w:after="40" w:before="0"/>
      </w:pPr>
      <w:r>
        <w:rPr>
          <w:rFonts w:ascii="Arial" w:cs="Arial" w:eastAsia="Arial" w:hAnsi="Arial"/>
          <w:b/>
          <w:bCs/>
          <w:caps/>
          <w:color w:val="4F46E5"/>
          <w:sz w:val="16"/>
          <w:szCs w:val="16"/>
        </w:rPr>
        <w:t xml:space="preserve">Ngân sách khách hàng</w:t>
      </w:r>
    </w:p>
    <w:p>
      <w:pPr>
        <w:spacing w:after="100" w:before="0"/>
      </w:pPr>
      <w:r>
        <w:rPr>
          <w:rFonts w:ascii="Arial" w:cs="Arial" w:eastAsia="Arial" w:hAnsi="Arial"/>
          <w:i/>
          <w:iCs/>
          <w:color w:val="666666"/>
          <w:sz w:val="15"/>
          <w:szCs w:val="15"/>
        </w:rPr>
        <w:t xml:space="preserve">Tiền trả cho bạn đến từ ngân sách nào? Phần mềm / Nhân sự / Vận hành / Marketing — và AI là người ký duyệt?</w:t>
      </w:r>
    </w:p>
    <w:p>
      <w:pPr>
        <w:pBdr>
          <w:bottom w:val="dotted" w:color="AAAAAA" w:sz="4" w:space="2"/>
        </w:pBdr>
        <w:spacing w:after="60"/>
      </w:pPr>
      <w:r>
        <w:rPr>
          <w:rFonts w:ascii="Arial" w:cs="Arial" w:eastAsia="Arial" w:hAnsi="Arial"/>
          <w:sz w:val="20"/>
          <w:szCs w:val="20"/>
        </w:rPr>
        <w:t>Vận hành CSKH của ví điện tử — KHÔNG phải ngân sách phần mềm. Ta cạnh tranh với chi phí mỗi ticket do người xử lý (34.091 ₫/ticket), không cạnh tranh với một SaaS khác trong danh mục công cụ. Người ký duyệt: Giám đốc Vận hành / CSKH. Procurement, InfoSec và Legal cùng gác cổng, vì ví điện tử là tổ chức trung gian thanh toán được NHNN cấp phép.</w:t>
      </w:r>
    </w:p>
    <w:p>
      <w:pPr>
        <w:pBdr>
          <w:bottom w:val="dotted" w:color="AAAAAA" w:sz="4" w:space="2"/>
        </w:pBdr>
        <w:spacing w:after="60"/>
      </w:pPr>
      <w:r>
        <w:rPr>
          <w:rFonts w:ascii="Arial" w:cs="Arial" w:eastAsia="Arial" w:hAnsi="Arial"/>
          <w:sz w:val="20"/>
          <w:szCs w:val="20"/>
        </w:rPr>
        <w:t xml:space="preserve"> </w:t>
      </w:r>
    </w:p>
    <w:p>
      <w:pPr>
        <w:spacing w:after="40" w:before="0"/>
      </w:pPr>
      <w:r>
        <w:rPr>
          <w:rFonts w:ascii="Arial" w:cs="Arial" w:eastAsia="Arial" w:hAnsi="Arial"/>
          <w:b/>
          <w:bCs/>
          <w:caps/>
          <w:color w:val="4F46E5"/>
          <w:sz w:val="16"/>
          <w:szCs w:val="16"/>
        </w:rPr>
        <w:t xml:space="preserve">Value Metric + lý do</w:t>
      </w:r>
    </w:p>
    <w:p>
      <w:pPr>
        <w:spacing w:after="100" w:before="0"/>
      </w:pPr>
      <w:r>
        <w:rPr>
          <w:rFonts w:ascii="Arial" w:cs="Arial" w:eastAsia="Arial" w:hAnsi="Arial"/>
          <w:i/>
          <w:iCs/>
          <w:color w:val="666666"/>
          <w:sz w:val="15"/>
          <w:szCs w:val="15"/>
        </w:rPr>
        <w:t xml:space="preserve">Seat / Usage / Outcome / Hybrid. Nêu điểm Attribution và Autonomy, và bằng chứng (số liệu eval Day 21–22). Nếu lệch khỏi gợi ý của model, nêu lý do thị trường.</w:t>
      </w:r>
    </w:p>
    <w:p>
      <w:pPr>
        <w:pBdr>
          <w:bottom w:val="dotted" w:color="AAAAAA" w:sz="4" w:space="2"/>
        </w:pBdr>
        <w:spacing w:after="60"/>
      </w:pPr>
      <w:r>
        <w:rPr>
          <w:rFonts w:ascii="Arial" w:cs="Arial" w:eastAsia="Arial" w:hAnsi="Arial"/>
          <w:sz w:val="20"/>
          <w:szCs w:val="20"/>
        </w:rPr>
        <w:t>HYBRID — phí nền 130.000.000 ₫/tháng + 1.900 ₫ mỗi ca contained + 12.000 ₫ mỗi hồ sơ điều tra được sếp ví duyệt NGAY LẦN TRÌNH ĐẦU. Hồ sơ bị trả về, ca lỗi kỹ thuật, ca chuyển ra người ngay từ đầu: không tính là job, không tính tiền.</w:t>
      </w:r>
    </w:p>
    <w:p>
      <w:pPr>
        <w:pBdr>
          <w:bottom w:val="dotted" w:color="AAAAAA" w:sz="4" w:space="2"/>
        </w:pBdr>
        <w:spacing w:after="60"/>
      </w:pPr>
      <w:r>
        <w:rPr>
          <w:rFonts w:ascii="Arial" w:cs="Arial" w:eastAsia="Arial" w:hAnsi="Arial"/>
          <w:sz w:val="20"/>
          <w:szCs w:val="20"/>
        </w:rPr>
        <w:t>Attribution 5/10 · Autonomy 3/10 → ma trận trỏ 'SEAT hoặc HYBRID' (3_Value_Metric!B10, B18, B21). Bằng chứng Attribution: bộ eval 118 ca + held-out 49 ca, lượt 27/08/2026 có khối provenance (commit 10d30e5 + sha256 của bộ chấm, file run, bộ đáp án, dataset), hitl_ticket_without_confirm = 0 và lần này quan sát được thật. Nhưng chính bộ eval đó đang TRƯỢT ngưỡng chặn của mình: blocking clean_rate 94,83% so với ngưỡng 100%, còn 4 ca lộ số điện thoại. Autonomy thấp VĨNH VIỄN: mọi quyết định về tiền do người của ví duyệt (Nghị định 52/2024, Thông tư 40/2024) — ràng buộc tuân thủ, không nâng được bằng cách làm model tốt hơn.</w:t>
      </w:r>
    </w:p>
    <w:p>
      <w:pPr>
        <w:pBdr>
          <w:bottom w:val="dotted" w:color="AAAAAA" w:sz="4" w:space="2"/>
        </w:pBdr>
        <w:spacing w:after="60"/>
      </w:pPr>
      <w:r>
        <w:rPr>
          <w:rFonts w:ascii="Arial" w:cs="Arial" w:eastAsia="Arial" w:hAnsi="Arial"/>
          <w:sz w:val="20"/>
          <w:szCs w:val="20"/>
        </w:rPr>
        <w:t>Không Seat: một CSKH có thể đẩy qua 4 hồ sơ mỗi ngày hoặc 40 — chi phí biến thiên 10 lần trong khi giá đứng yên; đúng lý do GitHub Copilot phải bỏ mô hình cũ từ 01/06/2026. Không Outcome: xem ô 'Mô hình gãy khi nào'. Ranh giới cần nói rõ — đơn giá hồ sơ TRÔNG giống Outcome nhưng ta tính tiền trên một state transition quan sát được trong hệ thống của chính khách (Attribution 100%), không tính tiền trên một KPI kinh doanh mà ta nhận công (Attribution ta chưa có).</w:t>
      </w:r>
    </w:p>
    <w:p>
      <w:pPr>
        <w:spacing w:after="40" w:before="0"/>
      </w:pPr>
      <w:r>
        <w:rPr>
          <w:rFonts w:ascii="Arial" w:cs="Arial" w:eastAsia="Arial" w:hAnsi="Arial"/>
          <w:b/>
          <w:bCs/>
          <w:caps/>
          <w:color w:val="4F46E5"/>
          <w:sz w:val="16"/>
          <w:szCs w:val="16"/>
        </w:rPr>
        <w:t xml:space="preserve">Benchmark — 2 sản phẩm thật cùng loại job</w:t>
      </w:r>
    </w:p>
    <w:p>
      <w:pPr>
        <w:spacing w:after="100" w:before="0"/>
      </w:pPr>
      <w:r>
        <w:rPr>
          <w:rFonts w:ascii="Arial" w:cs="Arial" w:eastAsia="Arial" w:hAnsi="Arial"/>
          <w:i/>
          <w:iCs/>
          <w:color w:val="666666"/>
          <w:sz w:val="15"/>
          <w:szCs w:val="15"/>
        </w:rPr>
        <w:t xml:space="preserve">Tên · value metric · giá công bố · link nguồn.</w:t>
      </w:r>
    </w:p>
    <w:p>
      <w:pPr>
        <w:pBdr>
          <w:bottom w:val="dotted" w:color="AAAAAA" w:sz="4" w:space="2"/>
        </w:pBdr>
        <w:spacing w:after="60"/>
      </w:pPr>
      <w:r>
        <w:rPr>
          <w:rFonts w:ascii="Arial" w:cs="Arial" w:eastAsia="Arial" w:hAnsi="Arial"/>
          <w:sz w:val="20"/>
          <w:szCs w:val="20"/>
        </w:rPr>
        <w:t>Intercom Fin — Outcome thuần — 0,99 $/resolution và 9,99 $/qualification; trên helpdesk bên thứ ba không phí seat, không phí tích hợp, có cam kết tối thiểu. https://fin.ai/pricing/ — tự kiểm tra 27/08/2026.</w:t>
      </w:r>
    </w:p>
    <w:p>
      <w:pPr>
        <w:pBdr>
          <w:bottom w:val="dotted" w:color="AAAAAA" w:sz="4" w:space="2"/>
        </w:pBdr>
        <w:spacing w:after="60"/>
      </w:pPr>
      <w:r>
        <w:rPr>
          <w:rFonts w:ascii="Arial" w:cs="Arial" w:eastAsia="Arial" w:hAnsi="Arial"/>
          <w:sz w:val="20"/>
          <w:szCs w:val="20"/>
        </w:rPr>
        <w:t>Zendesk — Outcome theo bậc — ba bậc và chỉ MỘT bậc bị trừ hạn mức: assisted escalation (người hoàn tất) và contained resolution KHÔNG trừ, chỉ verified resolution mới trừ và phải qua LLM kiểm chứng; cửa sổ kết thúc hội thoại 72h email · 2h messaging · ngay khi cúp máy; trang chính thức KHÔNG công bố đơn giá — con số 1,50 $ lưu hành là từ blog. https://support.zendesk.com/hc/en-us/articles/9570369117338-About-automated-resolution-tiers — tự kiểm tra 27/08/2026. Ta rẻ hơn Fin khoảng 13,5 lần ở dòng contained, không phải vì phá giá mà vì MẪU SỐ khác: một CSKH Việt Nam tốn 34.091 ₫ ≈ 1,31 $ cho một ticket.</w:t>
      </w:r>
    </w:p>
    <w:p>
      <w:pPr>
        <w:spacing w:after="40" w:before="0"/>
      </w:pPr>
      <w:r>
        <w:rPr>
          <w:rFonts w:ascii="Arial" w:cs="Arial" w:eastAsia="Arial" w:hAnsi="Arial"/>
          <w:b/>
          <w:bCs/>
          <w:caps/>
          <w:color w:val="4F46E5"/>
          <w:sz w:val="16"/>
          <w:szCs w:val="16"/>
        </w:rPr>
        <w:t xml:space="preserve">Các con số</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Chỉ số</w:t>
            </w:r>
          </w:p>
        </w:tc>
        <w:tc>
          <w:tcPr>
            <w:tcW w:type="dxa" w:w="240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Giá trị</w:t>
            </w:r>
          </w:p>
        </w:tc>
        <w:tc>
          <w:tcPr>
            <w:tcW w:type="dxa" w:w="276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Lấy từ đâu</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Cost/Job</w:t>
            </w:r>
          </w:p>
        </w:tc>
        <w:tc>
          <w:tcPr>
            <w:tcW w:type="dxa" w:w="2400"/>
            <w:tcMar>
              <w:top w:type="dxa" w:w="60"/>
              <w:left w:type="dxa" w:w="100"/>
              <w:bottom w:type="dxa" w:w="60"/>
              <w:right w:type="dxa" w:w="100"/>
            </w:tcMar>
          </w:tcPr>
          <w:p>
            <w:r>
              <w:t>0,0607 $  =  1.577 ₫</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2_Pricing!B5</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Giá sàn (= 3 × Cost/Job)</w:t>
            </w:r>
          </w:p>
        </w:tc>
        <w:tc>
          <w:tcPr>
            <w:tcW w:type="dxa" w:w="2400"/>
            <w:tcMar>
              <w:top w:type="dxa" w:w="60"/>
              <w:left w:type="dxa" w:w="100"/>
              <w:bottom w:type="dxa" w:w="60"/>
              <w:right w:type="dxa" w:w="100"/>
            </w:tcMar>
          </w:tcPr>
          <w:p>
            <w:r>
              <w:t>0,1820 $  =  4.732 ₫</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2_Pricing!B7</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Giá bán đề xuất</w:t>
            </w:r>
          </w:p>
        </w:tc>
        <w:tc>
          <w:tcPr>
            <w:tcW w:type="dxa" w:w="2400"/>
            <w:tcMar>
              <w:top w:type="dxa" w:w="60"/>
              <w:left w:type="dxa" w:w="100"/>
              <w:bottom w:type="dxa" w:w="60"/>
              <w:right w:type="dxa" w:w="100"/>
            </w:tcMar>
          </w:tcPr>
          <w:p>
            <w:r>
              <w:t>0,2309 $  =  6.004 ₫   (bình quân của mô hình Hybrid)</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2_Pricing!B19</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Gross Margin</w:t>
            </w:r>
          </w:p>
        </w:tc>
        <w:tc>
          <w:tcPr>
            <w:tcW w:type="dxa" w:w="2400"/>
            <w:tcMar>
              <w:top w:type="dxa" w:w="60"/>
              <w:left w:type="dxa" w:w="100"/>
              <w:bottom w:type="dxa" w:w="60"/>
              <w:right w:type="dxa" w:w="100"/>
            </w:tcMar>
          </w:tcPr>
          <w:p>
            <w:r>
              <w:t>73,73%   —  ĐẠT ngưỡng 60%. Bội số 3,81× — ĐẠT ngưỡng 3×</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2_Pricing!B21</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Breakeven containment</w:t>
            </w:r>
          </w:p>
        </w:tc>
        <w:tc>
          <w:tcPr>
            <w:tcW w:type="dxa" w:w="2400"/>
            <w:tcMar>
              <w:top w:type="dxa" w:w="60"/>
              <w:left w:type="dxa" w:w="100"/>
              <w:bottom w:type="dxa" w:w="60"/>
              <w:right w:type="dxa" w:w="100"/>
            </w:tcMar>
          </w:tcPr>
          <w:p>
            <w:r>
              <w:t>44,70%</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2_Pricing!B33</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Containment hiện tại (từ eval Day 21–22)</w:t>
            </w:r>
          </w:p>
        </w:tc>
        <w:tc>
          <w:tcPr>
            <w:tcW w:type="dxa" w:w="2400"/>
            <w:tcMar>
              <w:top w:type="dxa" w:w="60"/>
              <w:left w:type="dxa" w:w="100"/>
              <w:bottom w:type="dxa" w:w="60"/>
              <w:right w:type="dxa" w:w="100"/>
            </w:tcMar>
          </w:tcPr>
          <w:p>
            <w:r>
              <w:t>68,06% (điểm vận hành MỤC TIÊU) — ĐO THẬT 27/08/2026 chỉ 49,87%, vì đường hồ sơ mới ở 1/97 = 1,03%</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1_Cost_Job!B10</w:t>
            </w:r>
          </w:p>
        </w:tc>
      </w:tr>
    </w:tbl>
    <w:p>
      <w:pPr>
        <w:spacing w:after="100" w:before="0"/>
      </w:pPr>
      <w:r>
        <w:rPr>
          <w:rFonts w:ascii="Arial" w:cs="Arial" w:eastAsia="Arial" w:hAnsi="Arial"/>
          <w:sz w:val="20"/>
          <w:szCs w:val="20"/>
        </w:rPr>
        <w:t xml:space="preserve"/>
      </w:r>
    </w:p>
    <w:p>
      <w:pPr>
        <w:spacing w:after="40" w:before="0"/>
      </w:pPr>
      <w:r>
        <w:rPr>
          <w:rFonts w:ascii="Arial" w:cs="Arial" w:eastAsia="Arial" w:hAnsi="Arial"/>
          <w:b/>
          <w:bCs/>
          <w:caps/>
          <w:color w:val="4F46E5"/>
          <w:sz w:val="16"/>
          <w:szCs w:val="16"/>
        </w:rPr>
        <w:t xml:space="preserve">Cách neo giá</w:t>
      </w:r>
    </w:p>
    <w:p>
      <w:pPr>
        <w:spacing w:after="100" w:before="0"/>
      </w:pPr>
      <w:r>
        <w:rPr>
          <w:rFonts w:ascii="Arial" w:cs="Arial" w:eastAsia="Arial" w:hAnsi="Arial"/>
          <w:i/>
          <w:iCs/>
          <w:color w:val="666666"/>
          <w:sz w:val="15"/>
          <w:szCs w:val="15"/>
        </w:rPr>
        <w:t xml:space="preserve">Neo theo giá trị tạo ra (10–25%) hay theo lương vị trí bị thay (50–70%)? Vì sao khách sẽ chấp nhận cách neo đó?</w:t>
      </w:r>
    </w:p>
    <w:p>
      <w:pPr>
        <w:pBdr>
          <w:bottom w:val="dotted" w:color="AAAAAA" w:sz="4" w:space="2"/>
        </w:pBdr>
        <w:spacing w:after="60"/>
      </w:pPr>
      <w:r>
        <w:rPr>
          <w:rFonts w:ascii="Arial" w:cs="Arial" w:eastAsia="Arial" w:hAnsi="Arial"/>
          <w:sz w:val="20"/>
          <w:szCs w:val="20"/>
        </w:rPr>
        <w:t>Neo theo GIÁ TRỊ TẠO RA, mức 25% → trần 0,3278 $/job (2_Pricing!B13). KHÔNG dùng neo nhân công 50–70% (0,6556–0,9178 $/job) vì quy tắc đó chỉ đúng khi bạn THAY một người: FIN-05 không thay CSKH — HITL là ràng buộc bắt buộc, ví vẫn trả đủ lương cho CSKH và cho cấp duyệt, ta chỉ rút ngắn thời gian mỗi ca.</w:t>
      </w:r>
    </w:p>
    <w:p>
      <w:pPr>
        <w:pBdr>
          <w:bottom w:val="dotted" w:color="AAAAAA" w:sz="4" w:space="2"/>
        </w:pBdr>
        <w:spacing w:after="60"/>
      </w:pPr>
      <w:r>
        <w:rPr>
          <w:rFonts w:ascii="Arial" w:cs="Arial" w:eastAsia="Arial" w:hAnsi="Arial"/>
          <w:sz w:val="20"/>
          <w:szCs w:val="20"/>
        </w:rPr>
        <w:t>Khách chấp nhận vì con số neo là bảng lương của chính họ và họ tự kiểm được: 15tr ₫/tháng ÷ 440 ticket = 34.091 ₫ mỗi ticket. Ta thu 22.002 $/tháng trên 124.935 $ giá trị tạo ra = 17,6%, nằm giữa khoảng 10–25%; ROI của khách 5,7 lần.</w:t>
      </w:r>
    </w:p>
    <w:p>
      <w:pPr>
        <w:spacing w:after="40" w:before="0"/>
      </w:pPr>
      <w:r>
        <w:rPr>
          <w:rFonts w:ascii="Arial" w:cs="Arial" w:eastAsia="Arial" w:hAnsi="Arial"/>
          <w:b/>
          <w:bCs/>
          <w:caps/>
          <w:color w:val="4F46E5"/>
          <w:sz w:val="16"/>
          <w:szCs w:val="16"/>
        </w:rPr>
        <w:t xml:space="preserve">Mô hình gãy khi nào?</w:t>
      </w:r>
    </w:p>
    <w:p>
      <w:pPr>
        <w:spacing w:after="100" w:before="0"/>
      </w:pPr>
      <w:r>
        <w:rPr>
          <w:rFonts w:ascii="Arial" w:cs="Arial" w:eastAsia="Arial" w:hAnsi="Arial"/>
          <w:i/>
          <w:iCs/>
          <w:color w:val="666666"/>
          <w:sz w:val="15"/>
          <w:szCs w:val="15"/>
        </w:rPr>
        <w:t xml:space="preserve">Một câu: biến nào, vượt ngưỡng nào, thì Gross Margin tụt dưới 50%?</w:t>
      </w:r>
    </w:p>
    <w:p>
      <w:pPr>
        <w:pBdr>
          <w:bottom w:val="dotted" w:color="AAAAAA" w:sz="4" w:space="2"/>
        </w:pBdr>
        <w:spacing w:after="60"/>
      </w:pPr>
      <w:r>
        <w:rPr>
          <w:rFonts w:ascii="Arial" w:cs="Arial" w:eastAsia="Arial" w:hAnsi="Arial"/>
          <w:sz w:val="20"/>
          <w:szCs w:val="20"/>
        </w:rPr>
        <w:t>Gãy ở LAO ĐỘNG NGƯỜI, không ở token. LLM chỉ chiếm 23,1% chi phí; QA nội bộ chiếm 35,2% và là khoản lớn nhất — lại là con số ít bằng chứng nhất, mới suy ra từ giai đoạn demo, chưa từng đo ở tải 140.000 ca/tháng. Ngưỡng cụ thể: Gross Margin tụt dưới 50% khi tỷ lệ hoàn thành job rơi xuống dưới 35,8%, HOẶC khi chi phí lao động QA sai hơn 2,9 lần.</w:t>
      </w:r>
    </w:p>
    <w:p>
      <w:r>
        <w:t>Gãy dứt điểm nếu chuyển sang Biến thể B — ta nhận trách nhiệm giao kết quả cuối thay vì để ví tự xử lý ca escalate: Gross Margin xuống −60,4% và cần tỷ lệ hoàn thành 93,2% mới về 60%, bất khả thi với sản phẩm mà HITL là bắt buộc theo luật. Đây là lý do ĐỊNH LƯỢNG để không bán Outcome — mạnh hơn mọi lập luận định tính.</w:t>
      </w:r>
    </w:p>
    <w:p>
      <w:pPr>
        <w:spacing w:after="100" w:before="200"/>
      </w:pPr>
      <w:r>
        <w:rPr>
          <w:rFonts w:ascii="Arial" w:cs="Arial" w:eastAsia="Arial" w:hAnsi="Arial"/>
          <w:b/>
          <w:bCs/>
          <w:color w:val="4F46E5"/>
          <w:sz w:val="24"/>
          <w:szCs w:val="24"/>
        </w:rPr>
        <w:t xml:space="preserve">2 · GO-TO-MARKET</w:t>
      </w:r>
    </w:p>
    <w:p>
      <w:pPr>
        <w:spacing w:after="40" w:before="0"/>
      </w:pPr>
      <w:r>
        <w:rPr>
          <w:rFonts w:ascii="Arial" w:cs="Arial" w:eastAsia="Arial" w:hAnsi="Arial"/>
          <w:b/>
          <w:bCs/>
          <w:caps/>
          <w:color w:val="4F46E5"/>
          <w:sz w:val="16"/>
          <w:szCs w:val="16"/>
        </w:rPr>
        <w:t xml:space="preserve">Kênh phân phối — chọn ĐÚNG 1 cho 90 ngày đầu</w:t>
      </w:r>
    </w:p>
    <w:p>
      <w:pPr>
        <w:spacing w:after="100" w:before="0"/>
      </w:pPr>
      <w:r>
        <w:rPr>
          <w:rFonts w:ascii="Arial" w:cs="Arial" w:eastAsia="Arial" w:hAnsi="Arial"/>
          <w:i/>
          <w:iCs/>
          <w:color w:val="666666"/>
          <w:sz w:val="15"/>
          <w:szCs w:val="15"/>
        </w:rPr>
        <w:t xml:space="preserve">PLG / Sales-Led / Partner-Led. Nếu Partner-Led: TÊN CÔNG TY cụ thể + đã nói chuyện chưa + bạn mang lại giá trị gì cho họ.</w:t>
      </w:r>
    </w:p>
    <w:p>
      <w:pPr>
        <w:pBdr>
          <w:bottom w:val="dotted" w:color="AAAAAA" w:sz="4" w:space="2"/>
        </w:pBdr>
        <w:spacing w:after="60"/>
      </w:pPr>
      <w:r>
        <w:rPr>
          <w:rFonts w:ascii="Arial" w:cs="Arial" w:eastAsia="Arial" w:hAnsi="Arial"/>
          <w:sz w:val="20"/>
          <w:szCs w:val="20"/>
        </w:rPr>
        <w:t>SALES-LED (named account / ABM) — đúng một kênh cho 90 ngày. Đội sáu người chỉ đủ sức làm sâu một kênh.</w:t>
      </w:r>
    </w:p>
    <w:p>
      <w:pPr>
        <w:pBdr>
          <w:bottom w:val="dotted" w:color="AAAAAA" w:sz="4" w:space="2"/>
        </w:pBdr>
        <w:spacing w:after="60"/>
      </w:pPr>
      <w:r>
        <w:rPr>
          <w:rFonts w:ascii="Arial" w:cs="Arial" w:eastAsia="Arial" w:hAnsi="Arial"/>
          <w:sz w:val="20"/>
          <w:szCs w:val="20"/>
        </w:rPr>
        <w:t>PLG bị loại vì lý do CẤU TRÚC, không phải kém hiệu quả: không ví nào cho một tài khoản tự đăng ký đọc sổ cái giao dịch của khách hàng họ; kết nối bắt buộc đi qua hợp đồng, thẩm định an ninh và rà soát pháp lý. · PARTNER-LED không nằm trong 90 ngày, và lý do phải nói thẳng: một đội sáu người chưa có khách trả tiền KHÔNG có đường đặt lịch với NAPAS hay một nhà tích hợp lớn như FPT IS. Viết 'xin lịch gặp NAPAS trong 2 tuần' vào kế hoạch là tự lừa mình — một bước chỉ được tính là bước nếu đội có đường thực hiện nó ngay tuần này. Phép phủ định KHẢ THI: hỏi đầu mối ZaloPay đã có đúng một câu — 'khi ví chọn nhà cung cấp cho khâu tra soát, các anh có bao giờ mua qua giới thiệu của NAPAS hoặc của SI không, hay luôn mua thẳng?'. Tốn một tin nhắn, không tốn một chiến dịch. · QUAN HỆ ĐÃ CÓ, nói đúng mức: ZaloPay — PO của nhóm đã gặp 2 lần để lấy góc nhìn nghiệp vụ và phản hồi demo. Đây CHƯA phải một cuộc nói chuyện thương mại, chưa có người mua được xác định, chưa có ngân sách.</w:t>
      </w:r>
    </w:p>
    <w:p>
      <w:pPr>
        <w:spacing w:after="40" w:before="0"/>
      </w:pPr>
      <w:r>
        <w:rPr>
          <w:rFonts w:ascii="Arial" w:cs="Arial" w:eastAsia="Arial" w:hAnsi="Arial"/>
          <w:b/>
          <w:bCs/>
          <w:caps/>
          <w:color w:val="4F46E5"/>
          <w:sz w:val="16"/>
          <w:szCs w:val="16"/>
        </w:rPr>
        <w:t xml:space="preserve">Bằng chứng bằng số cho lựa chọn kênh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Chỉ số</w:t>
            </w:r>
          </w:p>
        </w:tc>
        <w:tc>
          <w:tcPr>
            <w:tcW w:type="dxa" w:w="240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Giá trị</w:t>
            </w:r>
          </w:p>
        </w:tc>
        <w:tc>
          <w:tcPr>
            <w:tcW w:type="dxa" w:w="276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Lấy từ đâu</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ARPU / tháng</w:t>
            </w:r>
          </w:p>
        </w:tc>
        <w:tc>
          <w:tcPr>
            <w:tcW w:type="dxa" w:w="2400"/>
            <w:tcMar>
              <w:top w:type="dxa" w:w="60"/>
              <w:left w:type="dxa" w:w="100"/>
              <w:bottom w:type="dxa" w:w="60"/>
              <w:right w:type="dxa" w:w="100"/>
            </w:tcMar>
          </w:tcPr>
          <w:p>
            <w:r>
              <w:t>22.002 $  =  572,1tr ₫</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4_Channel_Fit!B5</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Ngân sách CAC / khách</w:t>
            </w:r>
          </w:p>
        </w:tc>
        <w:tc>
          <w:tcPr>
            <w:tcW w:type="dxa" w:w="2400"/>
            <w:tcMar>
              <w:top w:type="dxa" w:w="60"/>
              <w:left w:type="dxa" w:w="100"/>
              <w:bottom w:type="dxa" w:w="60"/>
              <w:right w:type="dxa" w:w="100"/>
            </w:tcMar>
          </w:tcPr>
          <w:p>
            <w:r>
              <w:t>389.325 $</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4_Channel_Fit!B9</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Số deal / AE / ngày</w:t>
            </w:r>
          </w:p>
        </w:tc>
        <w:tc>
          <w:tcPr>
            <w:tcW w:type="dxa" w:w="2400"/>
            <w:tcMar>
              <w:top w:type="dxa" w:w="60"/>
              <w:left w:type="dxa" w:w="100"/>
              <w:bottom w:type="dxa" w:w="60"/>
              <w:right w:type="dxa" w:w="100"/>
            </w:tcMar>
          </w:tcPr>
          <w:p>
            <w:r>
              <w:t>0,0012  —  KHẢ THI. Một hợp đồng trả xong hơn 3 năm quota của một AE</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4_Channel_Fit!B16</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CAC thực tế ước tính</w:t>
            </w:r>
          </w:p>
        </w:tc>
        <w:tc>
          <w:tcPr>
            <w:tcW w:type="dxa" w:w="2400"/>
            <w:tcMar>
              <w:top w:type="dxa" w:w="60"/>
              <w:left w:type="dxa" w:w="100"/>
              <w:bottom w:type="dxa" w:w="60"/>
              <w:right w:type="dxa" w:w="100"/>
            </w:tcMar>
          </w:tcPr>
          <w:p>
            <w:r>
              <w:t>44.800 $  =  1,16 tỷ ₫  (cost per opportunity 11.200 $ ÷ win rate 25%, ICONIQ 2026 tr.22)</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4_Channel_Fit!B22</w:t>
            </w:r>
          </w:p>
        </w:tc>
      </w:tr>
      <w:tr>
        <w:tc>
          <w:tcPr>
            <w:tcW w:type="dxa" w:w="4200"/>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Lệch bao nhiêu lần</w:t>
            </w:r>
          </w:p>
        </w:tc>
        <w:tc>
          <w:tcPr>
            <w:tcW w:type="dxa" w:w="2400"/>
            <w:tcMar>
              <w:top w:type="dxa" w:w="60"/>
              <w:left w:type="dxa" w:w="100"/>
              <w:bottom w:type="dxa" w:w="60"/>
              <w:right w:type="dxa" w:w="100"/>
            </w:tcMar>
          </w:tcPr>
          <w:p>
            <w:r>
              <w:t>0,12 lần — CAC thực tế chỉ bằng 11,5% ngân sách CAC. Ràng buộc thật không phải tiền mà là TAM ~40 ví tại VN</w:t>
            </w:r>
          </w:p>
        </w:tc>
        <w:tc>
          <w:tcPr>
            <w:tcW w:type="dxa" w:w="2760"/>
            <w:tcMar>
              <w:top w:type="dxa" w:w="60"/>
              <w:left w:type="dxa" w:w="100"/>
              <w:bottom w:type="dxa" w:w="60"/>
              <w:right w:type="dxa" w:w="100"/>
            </w:tcMar>
          </w:tcPr>
          <w:p>
            <w:pPr>
              <w:spacing w:after="0"/>
            </w:pPr>
            <w:r>
              <w:rPr>
                <w:rFonts w:ascii="Arial" w:cs="Arial" w:eastAsia="Arial" w:hAnsi="Arial"/>
                <w:b w:val="false"/>
                <w:bCs w:val="false"/>
                <w:i w:val="false"/>
                <w:iCs w:val="false"/>
                <w:sz w:val="16"/>
                <w:szCs w:val="16"/>
              </w:rPr>
              <w:t xml:space="preserve">4_Channel_Fit!B23</w:t>
            </w:r>
          </w:p>
        </w:tc>
      </w:tr>
    </w:tbl>
    <w:p>
      <w:pPr>
        <w:spacing w:after="100" w:before="0"/>
      </w:pPr>
      <w:r>
        <w:rPr>
          <w:rFonts w:ascii="Arial" w:cs="Arial" w:eastAsia="Arial" w:hAnsi="Arial"/>
          <w:sz w:val="20"/>
          <w:szCs w:val="20"/>
        </w:rPr>
        <w:t xml:space="preserve"/>
      </w:r>
    </w:p>
    <w:p>
      <w:pPr>
        <w:spacing w:after="40" w:before="0"/>
      </w:pPr>
      <w:r>
        <w:rPr>
          <w:rFonts w:ascii="Arial" w:cs="Arial" w:eastAsia="Arial" w:hAnsi="Arial"/>
          <w:b/>
          <w:bCs/>
          <w:caps/>
          <w:color w:val="4F46E5"/>
          <w:sz w:val="16"/>
          <w:szCs w:val="16"/>
        </w:rPr>
        <w:t xml:space="preserve">Pain Moment — bắt buộc đủ 3 phần</w:t>
      </w:r>
    </w:p>
    <w:p>
      <w:pPr>
        <w:spacing w:after="100" w:before="0"/>
      </w:pPr>
      <w:r>
        <w:rPr>
          <w:rFonts w:ascii="Arial" w:cs="Arial" w:eastAsia="Arial" w:hAnsi="Arial"/>
          <w:i/>
          <w:iCs/>
          <w:color w:val="666666"/>
          <w:sz w:val="15"/>
          <w:szCs w:val="15"/>
        </w:rPr>
        <w:t xml:space="preserve">MẤY GIỜ + KHÁCH ĐANG LÀM GÌ + DÙNG APP/KÊNH NÀO. "Khi khách cần hỗ trợ" không được tính.</w:t>
      </w:r>
    </w:p>
    <w:p>
      <w:pPr>
        <w:pBdr>
          <w:bottom w:val="dotted" w:color="AAAAAA" w:sz="4" w:space="2"/>
        </w:pBdr>
        <w:spacing w:after="60"/>
      </w:pPr>
      <w:r>
        <w:rPr>
          <w:rFonts w:ascii="Arial" w:cs="Arial" w:eastAsia="Arial" w:hAnsi="Arial"/>
          <w:sz w:val="20"/>
          <w:szCs w:val="20"/>
        </w:rPr>
        <w:t>9h40 sáng thứ Hai — hàng chờ khiếu nại tồn từ cuối tuần vừa đổ về, khoảng 180 ticket. Ngân, CSKH tuyến 1, VỪA BỊ SẾP TRẢ VỀ một hồ sơ với lý do 'thiếu căn cứ'; vòng thứ hai tốn thêm khoảng 40 phút điều tra lại và một cuộc gọi lại khách, trong khi SLA tra soát vẫn đang chạy. Lúc đó cô đang ở MÀN HÌNH CHI TIẾT TICKET trong công cụ CSKH nội bộ của ví, mở song song một tab đối soát giao dịch — không phải một trình duyệt rảnh, không phải một web app khác.</w:t>
      </w:r>
    </w:p>
    <w:p>
      <w:pPr>
        <w:pBdr>
          <w:bottom w:val="dotted" w:color="AAAAAA" w:sz="4" w:space="2"/>
        </w:pBdr>
        <w:spacing w:after="60"/>
      </w:pPr>
      <w:r>
        <w:rPr>
          <w:rFonts w:ascii="Arial" w:cs="Arial" w:eastAsia="Arial" w:hAnsi="Arial"/>
          <w:sz w:val="20"/>
          <w:szCs w:val="20"/>
        </w:rPr>
        <w:t xml:space="preserve"> </w:t>
      </w:r>
    </w:p>
    <w:p>
      <w:pPr>
        <w:spacing w:after="40" w:before="0"/>
      </w:pPr>
      <w:r>
        <w:rPr>
          <w:rFonts w:ascii="Arial" w:cs="Arial" w:eastAsia="Arial" w:hAnsi="Arial"/>
          <w:b/>
          <w:bCs/>
          <w:caps/>
          <w:color w:val="4F46E5"/>
          <w:sz w:val="16"/>
          <w:szCs w:val="16"/>
        </w:rPr>
        <w:t xml:space="preserve">Điểm nhúng</w:t>
      </w:r>
    </w:p>
    <w:p>
      <w:pPr>
        <w:spacing w:after="100" w:before="0"/>
      </w:pPr>
      <w:r>
        <w:rPr>
          <w:rFonts w:ascii="Arial" w:cs="Arial" w:eastAsia="Arial" w:hAnsi="Arial"/>
          <w:i/>
          <w:iCs/>
          <w:color w:val="666666"/>
          <w:sz w:val="15"/>
          <w:szCs w:val="15"/>
        </w:rPr>
        <w:t xml:space="preserve">Sản phẩm của bạn nằm ở đâu để có mặt đúng lúc đó? Một bề mặt tích hợp có tên — không phải "website của chúng tôi".</w:t>
      </w:r>
    </w:p>
    <w:p>
      <w:pPr>
        <w:pBdr>
          <w:bottom w:val="dotted" w:color="AAAAAA" w:sz="4" w:space="2"/>
        </w:pBdr>
        <w:spacing w:after="60"/>
      </w:pPr>
      <w:r>
        <w:rPr>
          <w:rFonts w:ascii="Arial" w:cs="Arial" w:eastAsia="Arial" w:hAnsi="Arial"/>
          <w:sz w:val="20"/>
          <w:szCs w:val="20"/>
        </w:rPr>
        <w:t>Ba bề mặt, không cái nào là website riêng: (1) connector MCP/API đọc hệ thống giao dịch của ví — khái niệm 'co_vi' đã có sẵn trong mã nguồn; (2) panel dựng ngay trong màn hình chi tiết ticket của công cụ CSKH mà ví đang dùng, ghi ngược vào máy trạng thái ticket của họ; (3) widget chat trong chính app ví cho lớp ca tự phục vụ. Ngân không mở thêm tab nào. Cái giá của việc nhúng: ta không sở hữu giao diện, không sở hữu tài khoản người dùng, và mỗi ví là một tích hợp riêng — Intercom chấp nhận bỏ hẳn doanh thu seat để nhúng được Fin vào helpdesk bên thứ ba. Đó chính là thứ phí nền 130tr ₫ đổi lấy, không phải một khoản phụ thu cho tiện.</w:t>
      </w:r>
    </w:p>
    <w:p>
      <w:pPr>
        <w:spacing w:after="40" w:before="0"/>
      </w:pPr>
      <w:r>
        <w:rPr>
          <w:rFonts w:ascii="Arial" w:cs="Arial" w:eastAsia="Arial" w:hAnsi="Arial"/>
          <w:b/>
          <w:bCs/>
          <w:caps/>
          <w:color w:val="4F46E5"/>
          <w:sz w:val="16"/>
          <w:szCs w:val="16"/>
        </w:rPr>
        <w:t xml:space="preserve">90-Day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rPr>
          <w:tblHeader/>
        </w:trPr>
        <w:tc>
          <w:tcPr>
            <w:tcW w:type="dxa" w:w="1800"/>
            <w:shd w:fill="EEF0FB" w:color="auto" w:val="clear"/>
            <w:tcMar>
              <w:top w:type="dxa" w:w="60"/>
              <w:left w:type="dxa" w:w="100"/>
              <w:bottom w:type="dxa" w:w="60"/>
              <w:right w:type="dxa" w:w="100"/>
            </w:tcMar>
          </w:tcPr>
          <w:p>
            <w:pPr>
              <w:spacing w:after="0"/>
            </w:pPr>
            <w:r>
              <w:rPr>
                <w:rFonts w:ascii="Arial" w:cs="Arial" w:eastAsia="Arial" w:hAnsi="Arial"/>
                <w:b w:val="false"/>
                <w:bCs w:val="false"/>
                <w:i w:val="false"/>
                <w:iCs w:val="false"/>
                <w:sz w:val="18"/>
                <w:szCs w:val="18"/>
              </w:rPr>
              <w:t xml:space="preserve"/>
            </w:r>
          </w:p>
        </w:tc>
        <w:tc>
          <w:tcPr>
            <w:tcW w:type="dxa" w:w="252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Tháng 1 — Học</w:t>
            </w:r>
          </w:p>
        </w:tc>
        <w:tc>
          <w:tcPr>
            <w:tcW w:type="dxa" w:w="252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Tháng 2–3 — Đòn bẩy</w:t>
            </w:r>
          </w:p>
        </w:tc>
        <w:tc>
          <w:tcPr>
            <w:tcW w:type="dxa" w:w="252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Tháng 4+ — Mở rộng</w:t>
            </w:r>
          </w:p>
        </w:tc>
      </w:tr>
      <w:tr>
        <w:tc>
          <w:tcPr>
            <w:tcW w:type="dxa" w:w="1800"/>
            <w:tcMar>
              <w:top w:type="dxa" w:w="60"/>
              <w:left w:type="dxa" w:w="100"/>
              <w:bottom w:type="dxa" w:w="60"/>
              <w:right w:type="dxa" w:w="100"/>
            </w:tcMar>
          </w:tcPr>
          <w:p>
            <w:pPr>
              <w:spacing w:after="0"/>
            </w:pPr>
            <w:r>
              <w:rPr>
                <w:rFonts w:ascii="Arial" w:cs="Arial" w:eastAsia="Arial" w:hAnsi="Arial"/>
                <w:b/>
                <w:bCs/>
                <w:i w:val="false"/>
                <w:iCs w:val="false"/>
                <w:sz w:val="16"/>
                <w:szCs w:val="16"/>
              </w:rPr>
              <w:t xml:space="preserve">Kênh</w:t>
            </w:r>
          </w:p>
        </w:tc>
        <w:tc>
          <w:tcPr>
            <w:tcW w:type="dxa" w:w="2520"/>
            <w:tcMar>
              <w:top w:type="dxa" w:w="60"/>
              <w:left w:type="dxa" w:w="100"/>
              <w:bottom w:type="dxa" w:w="60"/>
              <w:right w:type="dxa" w:w="100"/>
            </w:tcMar>
          </w:tcPr>
          <w:p>
            <w:r>
              <w:t>Sales-Led — nhưng KHÔNG bán</w:t>
            </w:r>
          </w:p>
        </w:tc>
        <w:tc>
          <w:tcPr>
            <w:tcW w:type="dxa" w:w="2520"/>
            <w:tcMar>
              <w:top w:type="dxa" w:w="60"/>
              <w:left w:type="dxa" w:w="100"/>
              <w:bottom w:type="dxa" w:w="60"/>
              <w:right w:type="dxa" w:w="100"/>
            </w:tcMar>
          </w:tcPr>
          <w:p>
            <w:r>
              <w:t>Sales-Led</w:t>
            </w:r>
          </w:p>
        </w:tc>
        <w:tc>
          <w:tcPr>
            <w:tcW w:type="dxa" w:w="2520"/>
            <w:tcMar>
              <w:top w:type="dxa" w:w="60"/>
              <w:left w:type="dxa" w:w="100"/>
              <w:bottom w:type="dxa" w:w="60"/>
              <w:right w:type="dxa" w:w="100"/>
            </w:tcMar>
          </w:tcPr>
          <w:p>
            <w:r>
              <w:t>Sales-Led; chỉ xét Partner-Led sau khi có Pilot Report</w:t>
            </w:r>
          </w:p>
        </w:tc>
      </w:tr>
      <w:tr>
        <w:tc>
          <w:tcPr>
            <w:tcW w:type="dxa" w:w="1800"/>
            <w:tcMar>
              <w:top w:type="dxa" w:w="60"/>
              <w:left w:type="dxa" w:w="100"/>
              <w:bottom w:type="dxa" w:w="60"/>
              <w:right w:type="dxa" w:w="100"/>
            </w:tcMar>
          </w:tcPr>
          <w:p>
            <w:pPr>
              <w:spacing w:after="0"/>
            </w:pPr>
            <w:r>
              <w:rPr>
                <w:rFonts w:ascii="Arial" w:cs="Arial" w:eastAsia="Arial" w:hAnsi="Arial"/>
                <w:b/>
                <w:bCs/>
                <w:i w:val="false"/>
                <w:iCs w:val="false"/>
                <w:sz w:val="16"/>
                <w:szCs w:val="16"/>
              </w:rPr>
              <w:t xml:space="preserve">Mục tiêu số khách</w:t>
            </w:r>
          </w:p>
        </w:tc>
        <w:tc>
          <w:tcPr>
            <w:tcW w:type="dxa" w:w="2520"/>
            <w:tcMar>
              <w:top w:type="dxa" w:w="60"/>
              <w:left w:type="dxa" w:w="100"/>
              <w:bottom w:type="dxa" w:w="60"/>
              <w:right w:type="dxa" w:w="100"/>
            </w:tcMar>
          </w:tcPr>
          <w:p>
            <w:r>
              <w:t>0 hợp đồng ký — cố ý</w:t>
            </w:r>
          </w:p>
        </w:tc>
        <w:tc>
          <w:tcPr>
            <w:tcW w:type="dxa" w:w="2520"/>
            <w:tcMar>
              <w:top w:type="dxa" w:w="60"/>
              <w:left w:type="dxa" w:w="100"/>
              <w:bottom w:type="dxa" w:w="60"/>
              <w:right w:type="dxa" w:w="100"/>
            </w:tcMar>
          </w:tcPr>
          <w:p>
            <w:r>
              <w:t>1 ví chạy pilot có thoả thuận</w:t>
            </w:r>
          </w:p>
        </w:tc>
        <w:tc>
          <w:tcPr>
            <w:tcW w:type="dxa" w:w="2520"/>
            <w:tcMar>
              <w:top w:type="dxa" w:w="60"/>
              <w:left w:type="dxa" w:w="100"/>
              <w:bottom w:type="dxa" w:w="60"/>
              <w:right w:type="dxa" w:w="100"/>
            </w:tcMar>
          </w:tcPr>
          <w:p>
            <w:r>
              <w:t>Ví thứ hai ký hợp đồng</w:t>
            </w:r>
          </w:p>
        </w:tc>
      </w:tr>
      <w:tr>
        <w:tc>
          <w:tcPr>
            <w:tcW w:type="dxa" w:w="1800"/>
            <w:tcMar>
              <w:top w:type="dxa" w:w="60"/>
              <w:left w:type="dxa" w:w="100"/>
              <w:bottom w:type="dxa" w:w="60"/>
              <w:right w:type="dxa" w:w="100"/>
            </w:tcMar>
          </w:tcPr>
          <w:p>
            <w:pPr>
              <w:spacing w:after="0"/>
            </w:pPr>
            <w:r>
              <w:rPr>
                <w:rFonts w:ascii="Arial" w:cs="Arial" w:eastAsia="Arial" w:hAnsi="Arial"/>
                <w:b/>
                <w:bCs/>
                <w:i w:val="false"/>
                <w:iCs w:val="false"/>
                <w:sz w:val="16"/>
                <w:szCs w:val="16"/>
              </w:rPr>
              <w:t xml:space="preserve">Việc cụ thể</w:t>
            </w:r>
          </w:p>
        </w:tc>
        <w:tc>
          <w:tcPr>
            <w:tcW w:type="dxa" w:w="2520"/>
            <w:tcMar>
              <w:top w:type="dxa" w:w="60"/>
              <w:left w:type="dxa" w:w="100"/>
              <w:bottom w:type="dxa" w:w="60"/>
              <w:right w:type="dxa" w:w="100"/>
            </w:tcMar>
          </w:tcPr>
          <w:p>
            <w:r>
              <w:t>Viết runner T3/T4/T5 để report.md thôi trống; seed business_config và sửa định tuyến skill để agent mở được hồ sơ; đo mix ba lớp ca trên lưu lượng thật</w:t>
            </w:r>
          </w:p>
        </w:tc>
        <w:tc>
          <w:tcPr>
            <w:tcW w:type="dxa" w:w="2520"/>
            <w:tcMar>
              <w:top w:type="dxa" w:w="60"/>
              <w:left w:type="dxa" w:w="100"/>
              <w:bottom w:type="dxa" w:w="60"/>
              <w:right w:type="dxa" w:w="100"/>
            </w:tcMar>
          </w:tcPr>
          <w:p>
            <w:r>
              <w:t>4 tuần shadow (agent chạy, không hiện với khách, so với quyết định thật của người) rồi 4 tuần live lớp A; 5 tài khoản đích; hỏi ZaloPay câu phủ định Partner-Led</w:t>
            </w:r>
          </w:p>
        </w:tc>
        <w:tc>
          <w:tcPr>
            <w:tcW w:type="dxa" w:w="2520"/>
            <w:tcMar>
              <w:top w:type="dxa" w:w="60"/>
              <w:left w:type="dxa" w:w="100"/>
              <w:bottom w:type="dxa" w:w="60"/>
              <w:right w:type="dxa" w:w="100"/>
            </w:tcMar>
          </w:tcPr>
          <w:p>
            <w:r>
              <w:t>Mở ngách công ty tài chính tiêu dùng — cùng loại khiếu nại, cùng khung pháp lý; chuẩn hoá gói triển khai</w:t>
            </w:r>
          </w:p>
        </w:tc>
      </w:tr>
      <w:tr>
        <w:tc>
          <w:tcPr>
            <w:tcW w:type="dxa" w:w="1800"/>
            <w:tcMar>
              <w:top w:type="dxa" w:w="60"/>
              <w:left w:type="dxa" w:w="100"/>
              <w:bottom w:type="dxa" w:w="60"/>
              <w:right w:type="dxa" w:w="100"/>
            </w:tcMar>
          </w:tcPr>
          <w:p>
            <w:pPr>
              <w:spacing w:after="0"/>
            </w:pPr>
            <w:r>
              <w:rPr>
                <w:rFonts w:ascii="Arial" w:cs="Arial" w:eastAsia="Arial" w:hAnsi="Arial"/>
                <w:b/>
                <w:bCs/>
                <w:i w:val="false"/>
                <w:iCs w:val="false"/>
                <w:sz w:val="16"/>
                <w:szCs w:val="16"/>
              </w:rPr>
              <w:t xml:space="preserve">KPI đo được</w:t>
            </w:r>
          </w:p>
        </w:tc>
        <w:tc>
          <w:tcPr>
            <w:tcW w:type="dxa" w:w="2520"/>
            <w:tcMar>
              <w:top w:type="dxa" w:w="60"/>
              <w:left w:type="dxa" w:w="100"/>
              <w:bottom w:type="dxa" w:w="60"/>
              <w:right w:type="dxa" w:w="100"/>
            </w:tcMar>
          </w:tcPr>
          <w:p>
            <w:r>
              <w:t>missed_expected_ticket 96/97 → ≤10/97 · blocking clean_rate 94,83% → 100% · PDPA phone leak 4 ca → 0 · tools_required_satisfied 21,55% → ≥70%</w:t>
            </w:r>
          </w:p>
        </w:tc>
        <w:tc>
          <w:tcPr>
            <w:tcW w:type="dxa" w:w="2520"/>
            <w:tcMar>
              <w:top w:type="dxa" w:w="60"/>
              <w:left w:type="dxa" w:w="100"/>
              <w:bottom w:type="dxa" w:w="60"/>
              <w:right w:type="dxa" w:w="100"/>
            </w:tcMar>
          </w:tcPr>
          <w:p>
            <w:r>
              <w:t>Tỷ lệ hồ sơ duyệt-lần-đầu ≥ 43,26% · Cost/Job ≤ 0,065 $ · lao động người ≤ 55% chi phí · 2 cuộc gặp cấp trưởng bộ phận CSKH</w:t>
            </w:r>
          </w:p>
        </w:tc>
        <w:tc>
          <w:tcPr>
            <w:tcW w:type="dxa" w:w="2520"/>
            <w:tcMar>
              <w:top w:type="dxa" w:w="60"/>
              <w:left w:type="dxa" w:w="100"/>
              <w:bottom w:type="dxa" w:w="60"/>
              <w:right w:type="dxa" w:w="100"/>
            </w:tcMar>
          </w:tcPr>
          <w:p>
            <w:r>
              <w:t>Một ví đạt tỷ lệ hoàn thành ≥ 68% BA THÁNG LIÊN TIẾP và có Pilot Report được khách xác nhận — nhị phân, không thương lượng</w:t>
            </w:r>
          </w:p>
        </w:tc>
      </w:tr>
      <w:tr>
        <w:tc>
          <w:tcPr>
            <w:tcW w:type="dxa" w:w="1800"/>
            <w:tcMar>
              <w:top w:type="dxa" w:w="60"/>
              <w:left w:type="dxa" w:w="100"/>
              <w:bottom w:type="dxa" w:w="60"/>
              <w:right w:type="dxa" w:w="100"/>
            </w:tcMar>
          </w:tcPr>
          <w:p>
            <w:pPr>
              <w:spacing w:after="0"/>
            </w:pPr>
            <w:r>
              <w:rPr>
                <w:rFonts w:ascii="Arial" w:cs="Arial" w:eastAsia="Arial" w:hAnsi="Arial"/>
                <w:b/>
                <w:bCs/>
                <w:i w:val="false"/>
                <w:iCs w:val="false"/>
                <w:sz w:val="16"/>
                <w:szCs w:val="16"/>
              </w:rPr>
              <w:t xml:space="preserve">Ai chịu trách nhiệm</w:t>
            </w:r>
          </w:p>
        </w:tc>
        <w:tc>
          <w:tcPr>
            <w:tcW w:type="dxa" w:w="2520"/>
            <w:tcMar>
              <w:top w:type="dxa" w:w="60"/>
              <w:left w:type="dxa" w:w="100"/>
              <w:bottom w:type="dxa" w:w="60"/>
              <w:right w:type="dxa" w:w="100"/>
            </w:tcMar>
          </w:tcPr>
          <w:p>
            <w:r>
              <w:t>Lê Quang Huy (PM) — eval và điều phối · Engineer 1 — seed config, định tuyến skill</w:t>
            </w:r>
          </w:p>
        </w:tc>
        <w:tc>
          <w:tcPr>
            <w:tcW w:type="dxa" w:w="2520"/>
            <w:tcMar>
              <w:top w:type="dxa" w:w="60"/>
              <w:left w:type="dxa" w:w="100"/>
              <w:bottom w:type="dxa" w:w="60"/>
              <w:right w:type="dxa" w:w="100"/>
            </w:tcMar>
          </w:tcPr>
          <w:p>
            <w:r>
              <w:t>Lê Quang Huy — báo cáo pilot · Engineer 2 — connector MCP và panel · AE — tài khoản đích</w:t>
            </w:r>
          </w:p>
        </w:tc>
        <w:tc>
          <w:tcPr>
            <w:tcW w:type="dxa" w:w="2520"/>
            <w:tcMar>
              <w:top w:type="dxa" w:w="60"/>
              <w:left w:type="dxa" w:w="100"/>
              <w:bottom w:type="dxa" w:w="60"/>
              <w:right w:type="dxa" w:w="100"/>
            </w:tcMar>
          </w:tcPr>
          <w:p>
            <w:r>
              <w:t>Cả nhóm</w:t>
            </w:r>
          </w:p>
        </w:tc>
      </w:tr>
    </w:tbl>
    <w:p>
      <w:r>
        <w:br/>
        <w:t xml:space="preserve"/>
      </w:r>
    </w:p>
    <w:p>
      <w:pPr>
        <w:spacing w:after="60" w:before="200"/>
      </w:pPr>
      <w:r>
        <w:rPr>
          <w:rFonts w:ascii="Arial" w:cs="Arial" w:eastAsia="Arial" w:hAnsi="Arial"/>
          <w:b/>
          <w:bCs/>
          <w:color w:val="4F46E5"/>
          <w:sz w:val="24"/>
          <w:szCs w:val="24"/>
        </w:rPr>
        <w:t xml:space="preserve">3 · EVIDENCE PACK</w:t>
      </w:r>
    </w:p>
    <w:p>
      <w:pPr>
        <w:spacing w:after="100" w:before="0"/>
      </w:pPr>
      <w:r>
        <w:rPr>
          <w:rFonts w:ascii="Arial" w:cs="Arial" w:eastAsia="Arial" w:hAnsi="Arial"/>
          <w:i/>
          <w:iCs/>
          <w:color w:val="666666"/>
          <w:sz w:val="15"/>
          <w:szCs w:val="15"/>
        </w:rPr>
        <w:t xml:space="preserve">Ô nào chưa có thì ghi DEADLINE — đừng bỏ trống. Thành thật về khoảng trống được điểm cao hơn bịa nội dung.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3600"/>
        <w:gridCol w:w="2160"/>
      </w:tblGrid>
      <w:tr>
        <w:trPr>
          <w:tblHeader/>
        </w:trPr>
        <w:tc>
          <w:tcPr>
            <w:tcW w:type="dxa" w:w="240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Tài sản</w:t>
            </w:r>
          </w:p>
        </w:tc>
        <w:tc>
          <w:tcPr>
            <w:tcW w:type="dxa" w:w="120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Đã có?</w:t>
            </w:r>
          </w:p>
        </w:tc>
        <w:tc>
          <w:tcPr>
            <w:tcW w:type="dxa" w:w="360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Nội dung 1 câu — hoặc việc cần làm</w:t>
            </w:r>
          </w:p>
        </w:tc>
        <w:tc>
          <w:tcPr>
            <w:tcW w:type="dxa" w:w="2160"/>
            <w:shd w:fill="EEF0FB" w:color="auto" w:val="clear"/>
            <w:tcMar>
              <w:top w:type="dxa" w:w="60"/>
              <w:left w:type="dxa" w:w="100"/>
              <w:bottom w:type="dxa" w:w="60"/>
              <w:right w:type="dxa" w:w="100"/>
            </w:tcMar>
          </w:tcPr>
          <w:p>
            <w:pPr>
              <w:spacing w:after="0"/>
            </w:pPr>
            <w:r>
              <w:rPr>
                <w:rFonts w:ascii="Arial" w:cs="Arial" w:eastAsia="Arial" w:hAnsi="Arial"/>
                <w:b/>
                <w:bCs/>
                <w:i w:val="false"/>
                <w:iCs w:val="false"/>
                <w:sz w:val="18"/>
                <w:szCs w:val="18"/>
              </w:rPr>
              <w:t xml:space="preserve">Ai · Deadline</w:t>
            </w:r>
          </w:p>
        </w:tc>
      </w:tr>
      <w:tr>
        <w:tc>
          <w:tcPr>
            <w:tcW w:type="dxa" w:w="2400"/>
            <w:tcMar>
              <w:top w:type="dxa" w:w="60"/>
              <w:left w:type="dxa" w:w="100"/>
              <w:bottom w:type="dxa" w:w="60"/>
              <w:right w:type="dxa" w:w="100"/>
            </w:tcMar>
          </w:tcPr>
          <w:p>
            <w:pPr>
              <w:spacing w:after="0"/>
            </w:pPr>
            <w:r>
              <w:rPr>
                <w:rFonts w:ascii="Arial" w:cs="Arial" w:eastAsia="Arial" w:hAnsi="Arial"/>
                <w:b/>
                <w:bCs/>
                <w:i w:val="false"/>
                <w:iCs w:val="false"/>
                <w:sz w:val="17"/>
                <w:szCs w:val="17"/>
              </w:rPr>
              <w:t xml:space="preserve">Eval Results (Day 21–22)</w:t>
            </w:r>
          </w:p>
        </w:tc>
        <w:tc>
          <w:tcPr>
            <w:tcW w:type="dxa" w:w="1200"/>
            <w:tcMar>
              <w:top w:type="dxa" w:w="60"/>
              <w:left w:type="dxa" w:w="100"/>
              <w:bottom w:type="dxa" w:w="60"/>
              <w:right w:type="dxa" w:w="100"/>
            </w:tcMar>
          </w:tcPr>
          <w:p>
            <w:r>
              <w:t>Một phần</w:t>
            </w:r>
          </w:p>
        </w:tc>
        <w:tc>
          <w:tcPr>
            <w:tcW w:type="dxa" w:w="3600"/>
            <w:tcMar>
              <w:top w:type="dxa" w:w="60"/>
              <w:left w:type="dxa" w:w="100"/>
              <w:bottom w:type="dxa" w:w="60"/>
              <w:right w:type="dxa" w:w="100"/>
            </w:tcMar>
          </w:tcPr>
          <w:p>
            <w:r>
              <w:t>CÓ: golden 118 ca + held-out 49 ca, harness chạy lại được, thẻ điểm 3 mức, provenance đầy đủ từ 26/08/2026 (commit 10d30e5). hitl_ticket_without_confirm = 0 và lần này quan sát được thật. THIẾU: report.md vẫn trống · chưa chấm held-out · blocking 94,83% chưa đạt ngưỡng 0 vi phạm (4 ca lộ SĐT, 1 grounding, 1 cụm từ cấm) · chưa đo resolution nên chưa có số cho containment.</w:t>
            </w:r>
          </w:p>
        </w:tc>
        <w:tc>
          <w:tcPr>
            <w:tcW w:type="dxa" w:w="2160"/>
            <w:tcMar>
              <w:top w:type="dxa" w:w="60"/>
              <w:left w:type="dxa" w:w="100"/>
              <w:bottom w:type="dxa" w:w="60"/>
              <w:right w:type="dxa" w:w="100"/>
            </w:tcMar>
          </w:tcPr>
          <w:p>
            <w:r>
              <w:t>Lê Quang Huy · 30/09/2026</w:t>
            </w:r>
          </w:p>
        </w:tc>
      </w:tr>
      <w:tr>
        <w:tc>
          <w:tcPr>
            <w:tcW w:type="dxa" w:w="2400"/>
            <w:tcMar>
              <w:top w:type="dxa" w:w="60"/>
              <w:left w:type="dxa" w:w="100"/>
              <w:bottom w:type="dxa" w:w="60"/>
              <w:right w:type="dxa" w:w="100"/>
            </w:tcMar>
          </w:tcPr>
          <w:p>
            <w:pPr>
              <w:spacing w:after="0"/>
            </w:pPr>
            <w:r>
              <w:rPr>
                <w:rFonts w:ascii="Arial" w:cs="Arial" w:eastAsia="Arial" w:hAnsi="Arial"/>
                <w:b/>
                <w:bCs/>
                <w:i w:val="false"/>
                <w:iCs w:val="false"/>
                <w:sz w:val="17"/>
                <w:szCs w:val="17"/>
              </w:rPr>
              <w:t xml:space="preserve">Risk Checklist (Day 24)</w:t>
            </w:r>
          </w:p>
        </w:tc>
        <w:tc>
          <w:tcPr>
            <w:tcW w:type="dxa" w:w="1200"/>
            <w:tcMar>
              <w:top w:type="dxa" w:w="60"/>
              <w:left w:type="dxa" w:w="100"/>
              <w:bottom w:type="dxa" w:w="60"/>
              <w:right w:type="dxa" w:w="100"/>
            </w:tcMar>
          </w:tcPr>
          <w:p>
            <w:r>
              <w:t>Chưa</w:t>
            </w:r>
          </w:p>
        </w:tc>
        <w:tc>
          <w:tcPr>
            <w:tcW w:type="dxa" w:w="3600"/>
            <w:tcMar>
              <w:top w:type="dxa" w:w="60"/>
              <w:left w:type="dxa" w:w="100"/>
              <w:bottom w:type="dxa" w:w="60"/>
              <w:right w:type="dxa" w:w="100"/>
            </w:tcMar>
          </w:tcPr>
          <w:p>
            <w:r>
              <w:t>CÓ NGUYÊN LIỆU nhưng chưa có bản cho sản phẩm này — bản Day 22 làm trên TriageMate (y tế). Sẵn có: 6 ràng buộc ở Brief §7, 6 rào cứng trong mã nguồn, NĐ 52/2024, TT 40/2024, NĐ 13/2023. THIẾU: văn bản trả lời ba câu Procurement, DPA mẫu; CHƯA CÓ SOC 2 và sẽ chưa có trong 12 tháng tới — nói thẳng chứ không né.</w:t>
            </w:r>
          </w:p>
        </w:tc>
        <w:tc>
          <w:tcPr>
            <w:tcW w:type="dxa" w:w="2160"/>
            <w:tcMar>
              <w:top w:type="dxa" w:w="60"/>
              <w:left w:type="dxa" w:w="100"/>
              <w:bottom w:type="dxa" w:w="60"/>
              <w:right w:type="dxa" w:w="100"/>
            </w:tcMar>
          </w:tcPr>
          <w:p>
            <w:r>
              <w:t>Lê Quang Huy · 15/09/2026</w:t>
            </w:r>
          </w:p>
        </w:tc>
      </w:tr>
      <w:tr>
        <w:tc>
          <w:tcPr>
            <w:tcW w:type="dxa" w:w="2400"/>
            <w:tcMar>
              <w:top w:type="dxa" w:w="60"/>
              <w:left w:type="dxa" w:w="100"/>
              <w:bottom w:type="dxa" w:w="60"/>
              <w:right w:type="dxa" w:w="100"/>
            </w:tcMar>
          </w:tcPr>
          <w:p>
            <w:pPr>
              <w:spacing w:after="0"/>
            </w:pPr>
            <w:r>
              <w:rPr>
                <w:rFonts w:ascii="Arial" w:cs="Arial" w:eastAsia="Arial" w:hAnsi="Arial"/>
                <w:b/>
                <w:bCs/>
                <w:i w:val="false"/>
                <w:iCs w:val="false"/>
                <w:sz w:val="17"/>
                <w:szCs w:val="17"/>
              </w:rPr>
              <w:t xml:space="preserve">Pilot Report</w:t>
            </w:r>
          </w:p>
        </w:tc>
        <w:tc>
          <w:tcPr>
            <w:tcW w:type="dxa" w:w="1200"/>
            <w:tcMar>
              <w:top w:type="dxa" w:w="60"/>
              <w:left w:type="dxa" w:w="100"/>
              <w:bottom w:type="dxa" w:w="60"/>
              <w:right w:type="dxa" w:w="100"/>
            </w:tcMar>
          </w:tcPr>
          <w:p>
            <w:r>
              <w:t>Chưa</w:t>
            </w:r>
          </w:p>
        </w:tc>
        <w:tc>
          <w:tcPr>
            <w:tcW w:type="dxa" w:w="3600"/>
            <w:tcMar>
              <w:top w:type="dxa" w:w="60"/>
              <w:left w:type="dxa" w:w="100"/>
              <w:bottom w:type="dxa" w:w="60"/>
              <w:right w:type="dxa" w:w="100"/>
            </w:tcMar>
          </w:tcPr>
          <w:p>
            <w:r>
              <w:t>CHƯA CÓ GÌ. Chưa ví nào chạy pilot; ZaloPay mới ở mức góp ý nghiệp vụ cho demo. Thiếu toàn bộ: chưa chọn ví, chưa ký thoả thuận pilot, chưa có baseline thời gian xử lý của ví để so.</w:t>
            </w:r>
          </w:p>
        </w:tc>
        <w:tc>
          <w:tcPr>
            <w:tcW w:type="dxa" w:w="2160"/>
            <w:tcMar>
              <w:top w:type="dxa" w:w="60"/>
              <w:left w:type="dxa" w:w="100"/>
              <w:bottom w:type="dxa" w:w="60"/>
              <w:right w:type="dxa" w:w="100"/>
            </w:tcMar>
          </w:tcPr>
          <w:p>
            <w:r>
              <w:t>Huy + AE · ký thoả thuận 15/10/2026 · báo cáo 30/11/2026</w:t>
            </w:r>
          </w:p>
        </w:tc>
      </w:tr>
    </w:tbl>
    <w:p>
      <w:pPr>
        <w:spacing w:after="200" w:before="0"/>
      </w:pPr>
      <w:r>
        <w:rPr>
          <w:rFonts w:ascii="Arial" w:cs="Arial" w:eastAsia="Arial" w:hAnsi="Arial"/>
          <w:sz w:val="20"/>
          <w:szCs w:val="20"/>
        </w:rPr>
        <w:t xml:space="preserve"/>
      </w:r>
    </w:p>
    <w:p>
      <w:pPr>
        <w:spacing w:after="40" w:before="200"/>
      </w:pPr>
      <w:r>
        <w:rPr>
          <w:rFonts w:ascii="Arial" w:cs="Arial" w:eastAsia="Arial" w:hAnsi="Arial"/>
          <w:b/>
          <w:bCs/>
          <w:caps/>
          <w:color w:val="4F46E5"/>
          <w:sz w:val="18"/>
          <w:szCs w:val="18"/>
        </w:rPr>
        <w:t xml:space="preserve">BÀI TEST NGƯỜI LẠ</w:t>
      </w:r>
    </w:p>
    <w:p>
      <w:pPr>
        <w:spacing w:after="100" w:before="0"/>
      </w:pPr>
      <w:r>
        <w:rPr>
          <w:rFonts w:ascii="Arial" w:cs="Arial" w:eastAsia="Arial" w:hAnsi="Arial"/>
          <w:i/>
          <w:iCs/>
          <w:color w:val="666666"/>
          <w:sz w:val="15"/>
          <w:szCs w:val="15"/>
        </w:rPr>
        <w:t xml:space="preserve">Đưa trang này cho một nhóm khác đọc 2 phút. Họ phải trả lời được cả 3 câu mà không hỏi lại quá 3 lần.</w:t>
      </w:r>
    </w:p>
    <w:p>
      <w:pPr>
        <w:spacing w:after="40" w:before="0"/>
      </w:pPr>
      <w:r>
        <w:rPr>
          <w:rFonts w:ascii="Arial" w:cs="Arial" w:eastAsia="Arial" w:hAnsi="Arial"/>
          <w:sz w:val="18"/>
          <w:szCs w:val="18"/>
        </w:rPr>
        <w:t xml:space="preserve">☐  Bạn bán gì, cho ai, tính tiền theo đơn vị nào?</w:t>
      </w:r>
    </w:p>
    <w:p>
      <w:pPr>
        <w:spacing w:after="40" w:before="0"/>
      </w:pPr>
      <w:r>
        <w:rPr>
          <w:rFonts w:ascii="Arial" w:cs="Arial" w:eastAsia="Arial" w:hAnsi="Arial"/>
          <w:sz w:val="18"/>
          <w:szCs w:val="18"/>
        </w:rPr>
        <w:t xml:space="preserve">☐  Có lãi trên mỗi đơn vị không — con số nào chứng minh?</w:t>
      </w:r>
    </w:p>
    <w:p>
      <w:pPr>
        <w:spacing w:after="40" w:before="0"/>
      </w:pPr>
      <w:r>
        <w:rPr>
          <w:rFonts w:ascii="Arial" w:cs="Arial" w:eastAsia="Arial" w:hAnsi="Arial"/>
          <w:sz w:val="18"/>
          <w:szCs w:val="18"/>
        </w:rPr>
        <w:t xml:space="preserve">☐  Tiếp cận khách qua đâu — và vì sao là kênh đó?</w:t>
      </w:r>
    </w:p>
    <w:p>
      <w:pPr>
        <w:spacing w:after="200" w:before="0"/>
      </w:pPr>
      <w:r>
        <w:rPr>
          <w:rFonts w:ascii="Arial" w:cs="Arial" w:eastAsia="Arial" w:hAnsi="Arial"/>
          <w:sz w:val="18"/>
          <w:szCs w:val="18"/>
        </w:rPr>
        <w:t>Số câu người đọc phải hỏi lại: CHƯA CÓ SỐ THẬT — chưa đưa cho nhóm khác đọc (bài làm cá nhân). Không điền số bịa vào đây. TỰ KIỂM bằng cách đọc lại như người chưa biết gì: cả ba câu đều trả lời được, nhưng có 2 chỗ phải đọc lại lần hai — (a) dễ nhầm giá sàn với giá bán trong bảng số; (b) vì sao Gross Margin 73,7% mà vẫn kết luận chưa được ký. Đã sửa: đưa phán quyết lên ngay đầu trang và tách rõ hai trạng thái (điểm vận hành mục tiêu so với mức đo được).</w:t>
      </w:r>
    </w:p>
    <w:p>
      <w:pPr>
        <w:spacing w:after="80" w:before="0"/>
        <w:jc w:val="center"/>
      </w:pPr>
      <w:r>
        <w:rPr>
          <w:rFonts w:ascii="Arial" w:cs="Arial" w:eastAsia="Arial" w:hAnsi="Arial"/>
          <w:b/>
          <w:bCs/>
          <w:i/>
          <w:iCs/>
          <w:color w:val="666666"/>
          <w:sz w:val="20"/>
          <w:szCs w:val="20"/>
        </w:rPr>
        <w:t xml:space="preserve">Đừng bán AI. Hãy bán kết quả.</w:t>
      </w:r>
    </w:p>
    <w:sectPr>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2026-08-26T14:49:21.406Z</dcterms:created>
  <dcterms:modified xsi:type="dcterms:W3CDTF">2026-08-26T14:49:21.406Z</dcterms:modified>
</cp:coreProperties>
</file>

<file path=docProps/custom.xml><?xml version="1.0" encoding="utf-8"?>
<Properties xmlns="http://schemas.openxmlformats.org/officeDocument/2006/custom-properties" xmlns:vt="http://schemas.openxmlformats.org/officeDocument/2006/docPropsVTypes"/>
</file>