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4C33" w14:textId="3AB8BAA9" w:rsidR="005E7ADA" w:rsidRPr="00B551D4" w:rsidRDefault="005E7ADA" w:rsidP="005E7ADA">
      <w:pPr>
        <w:jc w:val="center"/>
        <w:rPr>
          <w:rFonts w:ascii="Times New Roman" w:hAnsi="Times New Roman" w:cs="Times New Roman"/>
          <w:b/>
          <w:sz w:val="28"/>
        </w:rPr>
      </w:pPr>
      <w:r w:rsidRPr="00B551D4">
        <w:rPr>
          <w:rFonts w:ascii="Times New Roman" w:hAnsi="Times New Roman" w:cs="Times New Roman"/>
          <w:b/>
          <w:sz w:val="28"/>
        </w:rPr>
        <w:t xml:space="preserve">Human–AI Collaboration in High-Stakes Decisions: A Meta-Analysis </w:t>
      </w:r>
      <w:r w:rsidR="00587718">
        <w:rPr>
          <w:rFonts w:ascii="Times New Roman" w:hAnsi="Times New Roman" w:cs="Times New Roman"/>
          <w:b/>
          <w:sz w:val="28"/>
        </w:rPr>
        <w:t>of</w:t>
      </w:r>
      <w:r w:rsidR="00587718" w:rsidRPr="00B551D4">
        <w:rPr>
          <w:rFonts w:ascii="Times New Roman" w:hAnsi="Times New Roman" w:cs="Times New Roman"/>
          <w:b/>
          <w:sz w:val="28"/>
        </w:rPr>
        <w:t xml:space="preserve"> </w:t>
      </w:r>
      <w:r w:rsidRPr="00B551D4">
        <w:rPr>
          <w:rFonts w:ascii="Times New Roman" w:hAnsi="Times New Roman" w:cs="Times New Roman"/>
          <w:b/>
          <w:sz w:val="28"/>
        </w:rPr>
        <w:t>Healthcare and Public Sectors</w:t>
      </w:r>
    </w:p>
    <w:p w14:paraId="20DE0756" w14:textId="77777777" w:rsidR="005E7ADA" w:rsidRPr="00B551D4" w:rsidRDefault="005E7ADA" w:rsidP="005E7ADA">
      <w:pPr>
        <w:rPr>
          <w:rFonts w:ascii="Times New Roman" w:hAnsi="Times New Roman" w:cs="Times New Roman"/>
          <w:b/>
          <w:sz w:val="24"/>
        </w:rPr>
      </w:pPr>
    </w:p>
    <w:p w14:paraId="00CC3AAC" w14:textId="77777777" w:rsidR="005E7ADA" w:rsidRPr="00B551D4" w:rsidRDefault="005E7ADA" w:rsidP="005E7ADA">
      <w:pPr>
        <w:rPr>
          <w:rFonts w:ascii="Times New Roman" w:hAnsi="Times New Roman" w:cs="Times New Roman"/>
          <w:b/>
          <w:sz w:val="24"/>
        </w:rPr>
      </w:pPr>
      <w:commentRangeStart w:id="0"/>
      <w:r w:rsidRPr="00B551D4">
        <w:rPr>
          <w:rFonts w:ascii="Times New Roman" w:hAnsi="Times New Roman" w:cs="Times New Roman"/>
          <w:b/>
          <w:sz w:val="24"/>
        </w:rPr>
        <w:t>Abstract</w:t>
      </w:r>
      <w:commentRangeEnd w:id="0"/>
      <w:r w:rsidR="0074561D">
        <w:rPr>
          <w:rStyle w:val="CommentReference"/>
        </w:rPr>
        <w:commentReference w:id="0"/>
      </w:r>
    </w:p>
    <w:p w14:paraId="09F563F4" w14:textId="5A9A59D9" w:rsidR="00282E1A" w:rsidRPr="00B551D4" w:rsidRDefault="00282E1A" w:rsidP="005E7ADA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B551D4">
        <w:rPr>
          <w:rFonts w:ascii="Times New Roman" w:hAnsi="Times New Roman" w:cs="Times New Roman"/>
          <w:sz w:val="24"/>
        </w:rPr>
        <w:t xml:space="preserve">This meta-analysis of 146 experiments in </w:t>
      </w:r>
      <w:r w:rsidR="001079E9" w:rsidRPr="00B551D4">
        <w:rPr>
          <w:rFonts w:ascii="Times New Roman" w:hAnsi="Times New Roman" w:cs="Times New Roman"/>
          <w:sz w:val="24"/>
        </w:rPr>
        <w:t xml:space="preserve">the </w:t>
      </w:r>
      <w:r w:rsidRPr="00B551D4">
        <w:rPr>
          <w:rFonts w:ascii="Times New Roman" w:hAnsi="Times New Roman" w:cs="Times New Roman"/>
          <w:sz w:val="24"/>
        </w:rPr>
        <w:t xml:space="preserve">healthcare and public sectors examines human–AI synergy versus augmentation amid substantial heterogeneity. We find that AI augmentation reliably improves </w:t>
      </w:r>
      <w:r w:rsidR="001079E9" w:rsidRPr="00B551D4">
        <w:rPr>
          <w:rFonts w:ascii="Times New Roman" w:hAnsi="Times New Roman" w:cs="Times New Roman"/>
          <w:sz w:val="24"/>
        </w:rPr>
        <w:t>human</w:t>
      </w:r>
      <w:r w:rsidRPr="00B551D4">
        <w:rPr>
          <w:rFonts w:ascii="Times New Roman" w:hAnsi="Times New Roman" w:cs="Times New Roman"/>
          <w:sz w:val="24"/>
        </w:rPr>
        <w:t xml:space="preserve"> performance (Hedges’ g = 0.622), whereas synergy effects are generally negative, with AI alone often outperforming human–AI teams (Hedges’ g = −0.380), </w:t>
      </w:r>
      <w:r w:rsidR="00587718">
        <w:rPr>
          <w:rFonts w:ascii="Times New Roman" w:hAnsi="Times New Roman" w:cs="Times New Roman"/>
          <w:sz w:val="24"/>
        </w:rPr>
        <w:t>although</w:t>
      </w:r>
      <w:r w:rsidRPr="00B551D4">
        <w:rPr>
          <w:rFonts w:ascii="Times New Roman" w:hAnsi="Times New Roman" w:cs="Times New Roman"/>
          <w:sz w:val="24"/>
        </w:rPr>
        <w:t xml:space="preserve"> publication bias favors positive augmentation results. Additionally, task type, AI transparency, and user expertise significantly moderate outcomes. These results caution against assuming inherent benefits </w:t>
      </w:r>
      <w:r w:rsidR="00587718">
        <w:rPr>
          <w:rFonts w:ascii="Times New Roman" w:hAnsi="Times New Roman" w:cs="Times New Roman"/>
          <w:sz w:val="24"/>
        </w:rPr>
        <w:t xml:space="preserve">of </w:t>
      </w:r>
      <w:r w:rsidRPr="00B551D4">
        <w:rPr>
          <w:rFonts w:ascii="Times New Roman" w:hAnsi="Times New Roman" w:cs="Times New Roman"/>
          <w:sz w:val="24"/>
        </w:rPr>
        <w:t xml:space="preserve">human–AI collaboration and instead support selective automation </w:t>
      </w:r>
      <w:r w:rsidR="00587718">
        <w:rPr>
          <w:rFonts w:ascii="Times New Roman" w:hAnsi="Times New Roman" w:cs="Times New Roman"/>
          <w:sz w:val="24"/>
        </w:rPr>
        <w:t xml:space="preserve">of </w:t>
      </w:r>
      <w:r w:rsidRPr="00B551D4">
        <w:rPr>
          <w:rFonts w:ascii="Times New Roman" w:hAnsi="Times New Roman" w:cs="Times New Roman"/>
          <w:sz w:val="24"/>
        </w:rPr>
        <w:t>structured tasks with human oversight for ethically complex decisions, guiding policymakers and leaders in optimizing human–AI integration.</w:t>
      </w:r>
    </w:p>
    <w:p w14:paraId="7F5A4F02" w14:textId="77777777" w:rsidR="005E7ADA" w:rsidRPr="00B551D4" w:rsidRDefault="005E7ADA" w:rsidP="005E7ADA">
      <w:pPr>
        <w:pStyle w:val="ListParagraph"/>
        <w:ind w:left="1080"/>
        <w:rPr>
          <w:rFonts w:ascii="Times New Roman" w:hAnsi="Times New Roman" w:cs="Times New Roman"/>
          <w:b/>
          <w:sz w:val="24"/>
        </w:rPr>
      </w:pPr>
    </w:p>
    <w:p w14:paraId="07450639" w14:textId="00EC2BD6" w:rsidR="00BE56FD" w:rsidRPr="00B551D4" w:rsidRDefault="00BE56FD" w:rsidP="00B551D4">
      <w:pPr>
        <w:rPr>
          <w:rFonts w:ascii="Times New Roman" w:hAnsi="Times New Roman" w:cs="Times New Roman"/>
          <w:b/>
          <w:sz w:val="24"/>
        </w:rPr>
      </w:pPr>
      <w:r w:rsidRPr="00B551D4">
        <w:rPr>
          <w:rFonts w:ascii="Times New Roman" w:hAnsi="Times New Roman" w:cs="Times New Roman"/>
          <w:b/>
          <w:sz w:val="24"/>
        </w:rPr>
        <w:t>Introduction</w:t>
      </w:r>
    </w:p>
    <w:p w14:paraId="136D84CA" w14:textId="63F1CF70" w:rsidR="008F06B0" w:rsidRPr="00B551D4" w:rsidRDefault="001079E9" w:rsidP="0074352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B551D4">
        <w:rPr>
          <w:rFonts w:ascii="Times New Roman" w:hAnsi="Times New Roman" w:cs="Times New Roman"/>
          <w:sz w:val="24"/>
        </w:rPr>
        <w:t xml:space="preserve">Artificial intelligence (AI) is increasingly deployed alongside human experts in high-stakes domains such as healthcare and public services (Esteva et al., 2019), where decisions carry significant societal consequences, including life-or-death outcomes. Consequently, there is an urgent need for reliable, accountable </w:t>
      </w:r>
      <w:commentRangeStart w:id="1"/>
      <w:r w:rsidRPr="00B551D4">
        <w:rPr>
          <w:rFonts w:ascii="Times New Roman" w:hAnsi="Times New Roman" w:cs="Times New Roman"/>
          <w:sz w:val="24"/>
        </w:rPr>
        <w:t>decision</w:t>
      </w:r>
      <w:r w:rsidR="00A205D8">
        <w:rPr>
          <w:rFonts w:ascii="Times New Roman" w:hAnsi="Times New Roman" w:cs="Times New Roman"/>
          <w:sz w:val="24"/>
        </w:rPr>
        <w:t xml:space="preserve"> </w:t>
      </w:r>
      <w:r w:rsidRPr="00B551D4">
        <w:rPr>
          <w:rFonts w:ascii="Times New Roman" w:hAnsi="Times New Roman" w:cs="Times New Roman"/>
          <w:sz w:val="24"/>
        </w:rPr>
        <w:t>making</w:t>
      </w:r>
      <w:commentRangeEnd w:id="1"/>
      <w:r w:rsidR="00A205D8">
        <w:rPr>
          <w:rStyle w:val="CommentReference"/>
        </w:rPr>
        <w:commentReference w:id="1"/>
      </w:r>
      <w:r w:rsidRPr="00B551D4">
        <w:rPr>
          <w:rFonts w:ascii="Times New Roman" w:hAnsi="Times New Roman" w:cs="Times New Roman"/>
          <w:sz w:val="24"/>
        </w:rPr>
        <w:t>. Prevailing views suggest that AI should augment, rather than replace, human decision</w:t>
      </w:r>
      <w:r w:rsidR="00A205D8">
        <w:rPr>
          <w:rFonts w:ascii="Times New Roman" w:hAnsi="Times New Roman" w:cs="Times New Roman"/>
          <w:sz w:val="24"/>
        </w:rPr>
        <w:t xml:space="preserve"> </w:t>
      </w:r>
      <w:r w:rsidRPr="00B551D4">
        <w:rPr>
          <w:rFonts w:ascii="Times New Roman" w:hAnsi="Times New Roman" w:cs="Times New Roman"/>
          <w:sz w:val="24"/>
        </w:rPr>
        <w:t>makers (Holzinger et al., 2022).</w:t>
      </w:r>
      <w:r w:rsidRPr="00B551D4">
        <w:rPr>
          <w:rFonts w:ascii="Times New Roman" w:hAnsi="Times New Roman" w:cs="Times New Roman"/>
          <w:sz w:val="24"/>
        </w:rPr>
        <w:br/>
        <w:t>Evidence on human–AI teamwork is mixed. A meta-analysis shows that hybrid pairs usually underperform stronger individual agent</w:t>
      </w:r>
      <w:r w:rsidR="0074561D">
        <w:rPr>
          <w:rFonts w:ascii="Times New Roman" w:hAnsi="Times New Roman" w:cs="Times New Roman"/>
          <w:sz w:val="24"/>
        </w:rPr>
        <w:t>s</w:t>
      </w:r>
      <w:r w:rsidRPr="00B551D4">
        <w:rPr>
          <w:rFonts w:ascii="Times New Roman" w:hAnsi="Times New Roman" w:cs="Times New Roman"/>
          <w:sz w:val="24"/>
        </w:rPr>
        <w:t>, so synergy is not automatic (Vaccaro et al., 2024).</w:t>
      </w:r>
      <w:r w:rsidR="00A205D8">
        <w:rPr>
          <w:rFonts w:ascii="Times New Roman" w:hAnsi="Times New Roman" w:cs="Times New Roman"/>
          <w:sz w:val="24"/>
        </w:rPr>
        <w:t xml:space="preserve"> </w:t>
      </w:r>
      <w:r w:rsidRPr="00B551D4">
        <w:rPr>
          <w:rFonts w:ascii="Times New Roman" w:hAnsi="Times New Roman" w:cs="Times New Roman"/>
          <w:sz w:val="24"/>
        </w:rPr>
        <w:t xml:space="preserve">Yet when tasks are complex and complementary errors can be exploited—as in medical decisions (e.g., radiology or diagnosis)— well-designed collaborations beat both humans and models; </w:t>
      </w:r>
      <w:r w:rsidR="00A205D8">
        <w:rPr>
          <w:rFonts w:ascii="Times New Roman" w:hAnsi="Times New Roman" w:cs="Times New Roman"/>
          <w:sz w:val="24"/>
        </w:rPr>
        <w:t xml:space="preserve">human </w:t>
      </w:r>
      <w:r w:rsidRPr="00B551D4">
        <w:rPr>
          <w:rFonts w:ascii="Times New Roman" w:hAnsi="Times New Roman" w:cs="Times New Roman"/>
          <w:sz w:val="24"/>
        </w:rPr>
        <w:t>experts catch algorithmic misclassifications and vice versa (Freyer et al., 2024; Zöller et al., 2025). The decisive enablers are clear interfaces, transparency, and calibrated oversight that allow humans to interrogate and override AI when needed.</w:t>
      </w:r>
    </w:p>
    <w:p w14:paraId="29806C39" w14:textId="4BD5DFBF" w:rsidR="008F06B0" w:rsidRPr="00B551D4" w:rsidRDefault="001079E9" w:rsidP="0074352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B551D4">
        <w:rPr>
          <w:rFonts w:ascii="Times New Roman" w:hAnsi="Times New Roman" w:cs="Times New Roman"/>
          <w:sz w:val="24"/>
        </w:rPr>
        <w:t>Governments are likewise deploying AI for unemployment</w:t>
      </w:r>
      <w:r w:rsidR="00A205D8">
        <w:rPr>
          <w:rFonts w:ascii="Times New Roman" w:hAnsi="Times New Roman" w:cs="Times New Roman"/>
          <w:sz w:val="24"/>
        </w:rPr>
        <w:t xml:space="preserve"> </w:t>
      </w:r>
      <w:r w:rsidRPr="00B551D4">
        <w:rPr>
          <w:rFonts w:ascii="Times New Roman" w:hAnsi="Times New Roman" w:cs="Times New Roman"/>
          <w:sz w:val="24"/>
        </w:rPr>
        <w:t>risk screening, social</w:t>
      </w:r>
      <w:r w:rsidR="00A205D8">
        <w:rPr>
          <w:rFonts w:ascii="Times New Roman" w:hAnsi="Times New Roman" w:cs="Times New Roman"/>
          <w:sz w:val="24"/>
        </w:rPr>
        <w:t xml:space="preserve"> </w:t>
      </w:r>
      <w:r w:rsidRPr="00B551D4">
        <w:rPr>
          <w:rFonts w:ascii="Times New Roman" w:hAnsi="Times New Roman" w:cs="Times New Roman"/>
          <w:sz w:val="24"/>
        </w:rPr>
        <w:t xml:space="preserve">benefit allocation, fraud detection, and regulatory enforcement (Van </w:t>
      </w:r>
      <w:proofErr w:type="spellStart"/>
      <w:r w:rsidRPr="00B551D4">
        <w:rPr>
          <w:rFonts w:ascii="Times New Roman" w:hAnsi="Times New Roman" w:cs="Times New Roman"/>
          <w:sz w:val="24"/>
        </w:rPr>
        <w:t>Noordt</w:t>
      </w:r>
      <w:proofErr w:type="spellEnd"/>
      <w:r w:rsidRPr="00B551D4">
        <w:rPr>
          <w:rFonts w:ascii="Times New Roman" w:hAnsi="Times New Roman" w:cs="Times New Roman"/>
          <w:sz w:val="24"/>
        </w:rPr>
        <w:t xml:space="preserve"> &amp; Misuraca, 2022). Efficiency gains are offset by high stakes: opacity undermines public trust, automation bias can </w:t>
      </w:r>
      <w:r w:rsidRPr="00B551D4">
        <w:rPr>
          <w:rFonts w:ascii="Times New Roman" w:hAnsi="Times New Roman" w:cs="Times New Roman"/>
          <w:sz w:val="24"/>
        </w:rPr>
        <w:lastRenderedPageBreak/>
        <w:t xml:space="preserve">entrench discrimination, and data leaks threaten privacy (Margetts, 2022). Scholars therefore urge “responsibility by design”: </w:t>
      </w:r>
      <w:commentRangeStart w:id="2"/>
      <w:r w:rsidR="0074561D">
        <w:rPr>
          <w:rFonts w:ascii="Times New Roman" w:hAnsi="Times New Roman" w:cs="Times New Roman"/>
          <w:sz w:val="24"/>
        </w:rPr>
        <w:t xml:space="preserve">governments must </w:t>
      </w:r>
      <w:commentRangeEnd w:id="2"/>
      <w:r w:rsidR="0074561D">
        <w:rPr>
          <w:rStyle w:val="CommentReference"/>
        </w:rPr>
        <w:commentReference w:id="2"/>
      </w:r>
      <w:r w:rsidRPr="00B551D4">
        <w:rPr>
          <w:rFonts w:ascii="Times New Roman" w:hAnsi="Times New Roman" w:cs="Times New Roman"/>
          <w:sz w:val="24"/>
        </w:rPr>
        <w:t xml:space="preserve">disclose model logic, keep humans liable for final decisions, and co-create systems with affected communities to embed fairness and human-rights safeguards across the AI lifecycle (Van </w:t>
      </w:r>
      <w:proofErr w:type="spellStart"/>
      <w:r w:rsidRPr="00B551D4">
        <w:rPr>
          <w:rFonts w:ascii="Times New Roman" w:hAnsi="Times New Roman" w:cs="Times New Roman"/>
          <w:sz w:val="24"/>
        </w:rPr>
        <w:t>Noordt</w:t>
      </w:r>
      <w:proofErr w:type="spellEnd"/>
      <w:r w:rsidRPr="00B551D4">
        <w:rPr>
          <w:rFonts w:ascii="Times New Roman" w:hAnsi="Times New Roman" w:cs="Times New Roman"/>
          <w:sz w:val="24"/>
        </w:rPr>
        <w:t xml:space="preserve"> &amp; Misuraca, 2022).</w:t>
      </w:r>
    </w:p>
    <w:p w14:paraId="640EEE54" w14:textId="74E4B522" w:rsidR="001079E9" w:rsidRDefault="001079E9" w:rsidP="0074352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B551D4">
        <w:rPr>
          <w:rFonts w:ascii="Times New Roman" w:hAnsi="Times New Roman" w:cs="Times New Roman"/>
          <w:sz w:val="24"/>
        </w:rPr>
        <w:t xml:space="preserve">Given </w:t>
      </w:r>
      <w:commentRangeStart w:id="3"/>
      <w:r w:rsidRPr="00B551D4">
        <w:rPr>
          <w:rFonts w:ascii="Times New Roman" w:hAnsi="Times New Roman" w:cs="Times New Roman"/>
          <w:sz w:val="24"/>
        </w:rPr>
        <w:t>the</w:t>
      </w:r>
      <w:commentRangeEnd w:id="3"/>
      <w:r w:rsidR="00A205D8">
        <w:rPr>
          <w:rStyle w:val="CommentReference"/>
        </w:rPr>
        <w:commentReference w:id="3"/>
      </w:r>
      <w:r w:rsidRPr="00B551D4">
        <w:rPr>
          <w:rFonts w:ascii="Times New Roman" w:hAnsi="Times New Roman" w:cs="Times New Roman"/>
          <w:sz w:val="24"/>
        </w:rPr>
        <w:t xml:space="preserve"> inconsistent outcomes, critical gaps remain in our understanding of human–AI collaboration. Specifically, there is limited clarity about when —and how much— human–AI teams surpass individual capabilities. This meta-analysis addresses these gaps by evaluating studies within healthcare and public-sector contexts, asking: (1) Do humans and AI complement each other effectively? and (2) How significantly do human–AI teams outperform humans or AI alone?</w:t>
      </w:r>
    </w:p>
    <w:p w14:paraId="1097EAA0" w14:textId="17FF6048" w:rsidR="0089069F" w:rsidRPr="00B551D4" w:rsidRDefault="00164902" w:rsidP="00322DB2">
      <w:pPr>
        <w:jc w:val="both"/>
        <w:rPr>
          <w:rFonts w:ascii="Times New Roman" w:hAnsi="Times New Roman" w:cs="Times New Roman"/>
          <w:b/>
          <w:sz w:val="24"/>
        </w:rPr>
      </w:pPr>
      <w:r w:rsidRPr="00B551D4">
        <w:rPr>
          <w:rFonts w:ascii="Times New Roman" w:hAnsi="Times New Roman" w:cs="Times New Roman"/>
          <w:b/>
          <w:sz w:val="24"/>
        </w:rPr>
        <w:t xml:space="preserve">Discussion and </w:t>
      </w:r>
      <w:r w:rsidR="00BB3EE6" w:rsidRPr="00B551D4">
        <w:rPr>
          <w:rFonts w:ascii="Times New Roman" w:hAnsi="Times New Roman" w:cs="Times New Roman"/>
          <w:b/>
          <w:sz w:val="24"/>
        </w:rPr>
        <w:t>Conclusion</w:t>
      </w:r>
    </w:p>
    <w:p w14:paraId="526D9E5E" w14:textId="2979C05A" w:rsidR="00804716" w:rsidRPr="00B551D4" w:rsidRDefault="00804716" w:rsidP="0074352C">
      <w:pPr>
        <w:pStyle w:val="NormalWeb"/>
        <w:spacing w:line="360" w:lineRule="auto"/>
        <w:ind w:firstLine="720"/>
        <w:jc w:val="both"/>
      </w:pPr>
      <w:r w:rsidRPr="00B551D4">
        <w:t xml:space="preserve">Our meta-analysis shows that AI augmentation typically improves human performance, largely by reducing routine human error rather than </w:t>
      </w:r>
      <w:r w:rsidR="00EA087B">
        <w:t xml:space="preserve">by </w:t>
      </w:r>
      <w:r w:rsidRPr="00B551D4">
        <w:t xml:space="preserve">creating dependable human–AI “synergy” (Binns et al., 2018). However, mixed teams often underperform the best solo agent—frequently the AI itself—and explanations rarely </w:t>
      </w:r>
      <w:r w:rsidR="0074561D">
        <w:t>help</w:t>
      </w:r>
      <w:r w:rsidRPr="00B551D4">
        <w:t xml:space="preserve"> because trust and reliance remain </w:t>
      </w:r>
      <w:r w:rsidR="00EA087B">
        <w:t>un</w:t>
      </w:r>
      <w:r w:rsidR="00EA087B" w:rsidRPr="00B551D4">
        <w:t xml:space="preserve">calibrated </w:t>
      </w:r>
      <w:r w:rsidRPr="00B551D4">
        <w:t xml:space="preserve">(Bansal et al., 2021). </w:t>
      </w:r>
      <w:commentRangeStart w:id="4"/>
      <w:r w:rsidRPr="00B551D4">
        <w:t>Effects are context-dependent</w:t>
      </w:r>
      <w:r w:rsidR="00EA087B">
        <w:t>, and</w:t>
      </w:r>
      <w:r w:rsidRPr="00B551D4">
        <w:t xml:space="preserve"> </w:t>
      </w:r>
      <w:commentRangeEnd w:id="4"/>
      <w:r w:rsidR="00EA087B">
        <w:rPr>
          <w:rStyle w:val="CommentReference"/>
          <w:rFonts w:asciiTheme="minorHAnsi" w:eastAsiaTheme="minorHAnsi" w:hAnsiTheme="minorHAnsi" w:cstheme="minorBidi"/>
        </w:rPr>
        <w:commentReference w:id="4"/>
      </w:r>
      <w:r w:rsidR="00EA087B">
        <w:t>t</w:t>
      </w:r>
      <w:r w:rsidRPr="00B551D4">
        <w:t>ask type matters: analytical, highly structured problems tend to favor AI dominance (</w:t>
      </w:r>
      <w:proofErr w:type="spellStart"/>
      <w:r w:rsidRPr="00B551D4">
        <w:t>Dietvorst</w:t>
      </w:r>
      <w:proofErr w:type="spellEnd"/>
      <w:r w:rsidRPr="00B551D4">
        <w:t xml:space="preserve"> et al., 2018), whereas creative or ambiguous work leaves more scope for complementary strengths (Harris &amp; Davenport, 2021). User expertise also conditions gains; contrary to common assumptions, less experienced users do not automatically benefit more from AI support (Longoni et al., 2019).</w:t>
      </w:r>
      <w:r w:rsidR="00063584" w:rsidRPr="00B551D4">
        <w:t xml:space="preserve"> These results </w:t>
      </w:r>
      <w:commentRangeStart w:id="5"/>
      <w:r w:rsidR="00EA087B">
        <w:t xml:space="preserve">emphasize the importance of </w:t>
      </w:r>
      <w:commentRangeEnd w:id="5"/>
      <w:r w:rsidR="00EA087B">
        <w:rPr>
          <w:rStyle w:val="CommentReference"/>
          <w:rFonts w:asciiTheme="minorHAnsi" w:eastAsiaTheme="minorHAnsi" w:hAnsiTheme="minorHAnsi" w:cstheme="minorBidi"/>
        </w:rPr>
        <w:commentReference w:id="5"/>
      </w:r>
      <w:r w:rsidR="00063584" w:rsidRPr="00B551D4">
        <w:t>design, not just adoption</w:t>
      </w:r>
      <w:r w:rsidRPr="00B551D4">
        <w:t>. Effective deployment</w:t>
      </w:r>
      <w:r w:rsidR="00063584" w:rsidRPr="00B551D4">
        <w:t xml:space="preserve"> of </w:t>
      </w:r>
      <w:commentRangeStart w:id="6"/>
      <w:r w:rsidR="00EC7253">
        <w:t>human</w:t>
      </w:r>
      <w:r w:rsidR="00EC7253" w:rsidRPr="00B551D4">
        <w:t>–</w:t>
      </w:r>
      <w:r w:rsidR="00EC7253">
        <w:t>AI</w:t>
      </w:r>
      <w:r w:rsidR="00063584" w:rsidRPr="00B551D4">
        <w:t xml:space="preserve"> </w:t>
      </w:r>
      <w:commentRangeEnd w:id="6"/>
      <w:r w:rsidR="00EC7253">
        <w:rPr>
          <w:rStyle w:val="CommentReference"/>
          <w:rFonts w:asciiTheme="minorHAnsi" w:eastAsiaTheme="minorHAnsi" w:hAnsiTheme="minorHAnsi" w:cstheme="minorBidi"/>
        </w:rPr>
        <w:commentReference w:id="6"/>
      </w:r>
      <w:commentRangeStart w:id="7"/>
      <w:r w:rsidR="00063584" w:rsidRPr="00B551D4">
        <w:t>team</w:t>
      </w:r>
      <w:r w:rsidR="00EA087B">
        <w:t>s</w:t>
      </w:r>
      <w:r w:rsidRPr="00B551D4">
        <w:t xml:space="preserve"> </w:t>
      </w:r>
      <w:commentRangeEnd w:id="7"/>
      <w:r w:rsidR="00EA087B">
        <w:rPr>
          <w:rStyle w:val="CommentReference"/>
          <w:rFonts w:asciiTheme="minorHAnsi" w:eastAsiaTheme="minorHAnsi" w:hAnsiTheme="minorHAnsi" w:cstheme="minorBidi"/>
        </w:rPr>
        <w:commentReference w:id="7"/>
      </w:r>
      <w:r w:rsidRPr="00B551D4">
        <w:t>requires selecting tasks where error reduction yields measurable value</w:t>
      </w:r>
      <w:commentRangeStart w:id="8"/>
      <w:r w:rsidR="00EA087B">
        <w:t>,</w:t>
      </w:r>
      <w:commentRangeEnd w:id="8"/>
      <w:r w:rsidR="0074561D">
        <w:rPr>
          <w:rStyle w:val="CommentReference"/>
          <w:rFonts w:asciiTheme="minorHAnsi" w:eastAsiaTheme="minorHAnsi" w:hAnsiTheme="minorHAnsi" w:cstheme="minorBidi"/>
        </w:rPr>
        <w:commentReference w:id="8"/>
      </w:r>
      <w:r w:rsidRPr="00B551D4">
        <w:t xml:space="preserve"> configuring interfaces that </w:t>
      </w:r>
      <w:r w:rsidR="00EA087B">
        <w:t xml:space="preserve">provide </w:t>
      </w:r>
      <w:r w:rsidRPr="00B551D4">
        <w:t>calibrated risk bands and disagreement alerts</w:t>
      </w:r>
      <w:r w:rsidR="00EA087B">
        <w:t>,</w:t>
      </w:r>
      <w:r w:rsidRPr="00B551D4">
        <w:t xml:space="preserve"> and instituting procedures for escalation when </w:t>
      </w:r>
      <w:r w:rsidR="00EA087B">
        <w:t xml:space="preserve">AI </w:t>
      </w:r>
      <w:r w:rsidRPr="00B551D4">
        <w:t xml:space="preserve">predictions and human judgment diverge. Calibration training on base rates, controlled pilots, and ongoing monitoring are more promising than generic “explainability” for fixing misuse and overreliance (Bansal et al., 2021; Wilson et al., 2022). Accordingly, in healthcare and the public sector, it is prudent to automate high-precision, structured sub-tasks (e.g., triage prioritization, duplicate-record detection) while reserving ethically complex or ambiguous decisions for documented human review, where judgment, accountability, and stakeholder values </w:t>
      </w:r>
      <w:commentRangeStart w:id="9"/>
      <w:r w:rsidR="0074561D">
        <w:t>are especially important</w:t>
      </w:r>
      <w:r w:rsidRPr="00B551D4">
        <w:t xml:space="preserve"> </w:t>
      </w:r>
      <w:commentRangeEnd w:id="9"/>
      <w:r w:rsidR="0074561D">
        <w:rPr>
          <w:rStyle w:val="CommentReference"/>
          <w:rFonts w:asciiTheme="minorHAnsi" w:eastAsiaTheme="minorHAnsi" w:hAnsiTheme="minorHAnsi" w:cstheme="minorBidi"/>
        </w:rPr>
        <w:commentReference w:id="9"/>
      </w:r>
      <w:r w:rsidRPr="00B551D4">
        <w:t xml:space="preserve">(Binns et al., 2018; Wilson et al., 2022). </w:t>
      </w:r>
    </w:p>
    <w:p w14:paraId="5C90F0A8" w14:textId="2DEF9714" w:rsidR="00025584" w:rsidRPr="00B551D4" w:rsidRDefault="00F80E6B" w:rsidP="0074352C">
      <w:pPr>
        <w:pStyle w:val="NormalWeb"/>
        <w:spacing w:line="360" w:lineRule="auto"/>
        <w:ind w:firstLine="720"/>
        <w:jc w:val="both"/>
      </w:pPr>
      <w:r>
        <w:lastRenderedPageBreak/>
        <w:t>W</w:t>
      </w:r>
      <w:r w:rsidR="00025584" w:rsidRPr="00B551D4">
        <w:t xml:space="preserve">e acknowledge limitations including high between-study heterogeneity, potential publication/selection bias (especially for augmentation), timeframe restrictions, reliance on reported summary statistics, the predominance of experimental settings, and the scarcity of open-ended studies (~5%), which limits generalizability beyond structured tasks and likely makes our pooled synergy a conservative lower bound for creative contexts. </w:t>
      </w:r>
      <w:r w:rsidR="00951E75" w:rsidRPr="00B551D4">
        <w:t xml:space="preserve">Because publication bias can inflate reported augmentation gains, agencies should mandate preregistered evaluations, routine reporting of null results, and independent audits, and researchers should use selection-model or p-curve sensitivity tests. </w:t>
      </w:r>
      <w:r w:rsidR="00DB16F9" w:rsidRPr="00B551D4">
        <w:t>Future studies should preregister field/simulation tests of creative, ambiguous high-stakes work</w:t>
      </w:r>
      <w:r w:rsidR="0074561D">
        <w:t>;</w:t>
      </w:r>
      <w:r w:rsidR="00DB16F9" w:rsidRPr="00B551D4">
        <w:t xml:space="preserve"> vary ambiguity and stakes</w:t>
      </w:r>
      <w:commentRangeStart w:id="10"/>
      <w:r w:rsidR="0074561D">
        <w:t>;</w:t>
      </w:r>
      <w:commentRangeEnd w:id="10"/>
      <w:r w:rsidR="0074561D">
        <w:rPr>
          <w:rStyle w:val="CommentReference"/>
          <w:rFonts w:asciiTheme="minorHAnsi" w:eastAsiaTheme="minorHAnsi" w:hAnsiTheme="minorHAnsi" w:cstheme="minorBidi"/>
        </w:rPr>
        <w:commentReference w:id="10"/>
      </w:r>
      <w:r w:rsidR="00DB16F9" w:rsidRPr="00B551D4">
        <w:t xml:space="preserve"> and assess appropriateness, novelty, justification quality, value alignment, and downstream impact—not just accuracy. </w:t>
      </w:r>
    </w:p>
    <w:p w14:paraId="560A0D99" w14:textId="77777777" w:rsidR="007C7DF0" w:rsidRPr="00852313" w:rsidRDefault="007C7DF0" w:rsidP="007C7DF0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C71955" w14:textId="4CC1D8FF" w:rsidR="00813D2C" w:rsidRDefault="00813D2C" w:rsidP="00813D2C">
      <w:pPr>
        <w:pStyle w:val="ListParagraph"/>
        <w:ind w:left="567"/>
        <w:jc w:val="both"/>
        <w:rPr>
          <w:rFonts w:ascii="Times New Roman" w:hAnsi="Times New Roman" w:cs="Times New Roman"/>
          <w:sz w:val="24"/>
        </w:rPr>
      </w:pPr>
    </w:p>
    <w:p w14:paraId="43AE931E" w14:textId="77777777" w:rsidR="00E77D36" w:rsidRPr="0054580D" w:rsidRDefault="00E77D36" w:rsidP="00813D2C">
      <w:pPr>
        <w:pStyle w:val="ListParagraph"/>
        <w:ind w:left="567"/>
        <w:jc w:val="both"/>
        <w:rPr>
          <w:rFonts w:ascii="Times New Roman" w:hAnsi="Times New Roman" w:cs="Times New Roman"/>
          <w:sz w:val="24"/>
        </w:rPr>
      </w:pPr>
    </w:p>
    <w:sectPr w:rsidR="00E77D36" w:rsidRPr="00545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roofreadingServices.com" w:date="2025-10-22T11:00:00Z" w:initials="PS">
    <w:p w14:paraId="34A64AE2" w14:textId="77777777" w:rsidR="0074561D" w:rsidRDefault="0074561D" w:rsidP="0074561D">
      <w:r>
        <w:rPr>
          <w:rStyle w:val="CommentReference"/>
        </w:rPr>
        <w:annotationRef/>
      </w:r>
      <w:r>
        <w:rPr>
          <w:sz w:val="20"/>
          <w:szCs w:val="20"/>
        </w:rPr>
        <w:t>It was a pleasure to edit your manuscript. I have incorporated the changes recommended by your editor and made some additional edits to improve grammar, punctuation, and language quality. I hope you find my input helpful!</w:t>
      </w:r>
    </w:p>
  </w:comment>
  <w:comment w:id="1" w:author="ProofreadingServices.com" w:date="2025-10-22T10:12:00Z" w:initials="PS">
    <w:p w14:paraId="3DF57490" w14:textId="4BED577B" w:rsidR="00A205D8" w:rsidRDefault="00A205D8" w:rsidP="00A205D8">
      <w:r>
        <w:rPr>
          <w:rStyle w:val="CommentReference"/>
        </w:rPr>
        <w:annotationRef/>
      </w:r>
      <w:r>
        <w:rPr>
          <w:sz w:val="20"/>
          <w:szCs w:val="20"/>
        </w:rPr>
        <w:t xml:space="preserve">APA 7 requires you to hyphenate "decision making" when it is used adjectivally to modify a noun, not when it functions as a noun on its own. </w:t>
      </w:r>
    </w:p>
  </w:comment>
  <w:comment w:id="2" w:author="ProofreadingServices.com" w:date="2025-10-22T11:03:00Z" w:initials="PS">
    <w:p w14:paraId="3458C4C7" w14:textId="77777777" w:rsidR="0074561D" w:rsidRDefault="0074561D" w:rsidP="0074561D">
      <w:r>
        <w:rPr>
          <w:rStyle w:val="CommentReference"/>
        </w:rPr>
        <w:annotationRef/>
      </w:r>
      <w:r>
        <w:rPr>
          <w:sz w:val="20"/>
          <w:szCs w:val="20"/>
        </w:rPr>
        <w:t xml:space="preserve">Presenting these as commands is confusing. A command has an  implied subject of "you," but your readers are not the actors responsible for performing these tasks. </w:t>
      </w:r>
    </w:p>
  </w:comment>
  <w:comment w:id="3" w:author="ProofreadingServices.com" w:date="2025-10-22T10:17:00Z" w:initials="PS">
    <w:p w14:paraId="557E8EE7" w14:textId="6F3C36B3" w:rsidR="00A205D8" w:rsidRDefault="00A205D8" w:rsidP="00A205D8">
      <w:r>
        <w:rPr>
          <w:rStyle w:val="CommentReference"/>
        </w:rPr>
        <w:annotationRef/>
      </w:r>
      <w:r>
        <w:rPr>
          <w:sz w:val="20"/>
          <w:szCs w:val="20"/>
        </w:rPr>
        <w:t xml:space="preserve">Using "these" here implies that the previous sentence discussed inconsistent outcomes, which is not the case. </w:t>
      </w:r>
    </w:p>
  </w:comment>
  <w:comment w:id="4" w:author="ProofreadingServices.com" w:date="2025-10-22T10:24:00Z" w:initials="PS">
    <w:p w14:paraId="7369631D" w14:textId="77777777" w:rsidR="00EA087B" w:rsidRDefault="00EA087B" w:rsidP="00EA087B">
      <w:r>
        <w:rPr>
          <w:rStyle w:val="CommentReference"/>
        </w:rPr>
        <w:annotationRef/>
      </w:r>
      <w:r>
        <w:rPr>
          <w:sz w:val="20"/>
          <w:szCs w:val="20"/>
        </w:rPr>
        <w:t>"Effects are context-dependent" is quite short compared to the other sentences in your manuscript and made this paragraph feel a bit "choppy." Using a conjunction to combine it with "task type matters" improves the overall flow of the text.</w:t>
      </w:r>
    </w:p>
  </w:comment>
  <w:comment w:id="5" w:author="ProofreadingServices.com" w:date="2025-10-22T10:29:00Z" w:initials="PS">
    <w:p w14:paraId="3718B6A4" w14:textId="77777777" w:rsidR="00EA087B" w:rsidRDefault="00EA087B" w:rsidP="00EA087B">
      <w:r>
        <w:rPr>
          <w:rStyle w:val="CommentReference"/>
        </w:rPr>
        <w:annotationRef/>
      </w:r>
      <w:r>
        <w:rPr>
          <w:sz w:val="20"/>
          <w:szCs w:val="20"/>
        </w:rPr>
        <w:t xml:space="preserve">Stating that these results "suggest design" means that design is the reason for the results, rather than that the results are a reason to focus on design. </w:t>
      </w:r>
    </w:p>
  </w:comment>
  <w:comment w:id="6" w:author="ProofreadingServices.com" w:date="2025-10-22T10:56:00Z" w:initials="PS">
    <w:p w14:paraId="24D12582" w14:textId="77777777" w:rsidR="00EC7253" w:rsidRDefault="00EC7253" w:rsidP="00EC7253">
      <w:r>
        <w:rPr>
          <w:rStyle w:val="CommentReference"/>
        </w:rPr>
        <w:annotationRef/>
      </w:r>
      <w:r>
        <w:rPr>
          <w:sz w:val="20"/>
          <w:szCs w:val="20"/>
        </w:rPr>
        <w:t xml:space="preserve">You have thus far referred to these as "human–AI teams" throughout the manuscript. Reversing the order of "human" and "AI" here creates inconsistency that may confuse your audience. </w:t>
      </w:r>
    </w:p>
  </w:comment>
  <w:comment w:id="7" w:author="ProofreadingServices.com" w:date="2025-10-22T10:31:00Z" w:initials="PS">
    <w:p w14:paraId="7041A0E5" w14:textId="122CC41C" w:rsidR="00EC7253" w:rsidRDefault="00EA087B" w:rsidP="00EC7253">
      <w:r>
        <w:rPr>
          <w:rStyle w:val="CommentReference"/>
        </w:rPr>
        <w:annotationRef/>
      </w:r>
      <w:r w:rsidR="00EC7253">
        <w:rPr>
          <w:sz w:val="20"/>
          <w:szCs w:val="20"/>
        </w:rPr>
        <w:t xml:space="preserve">Since you are speaking generally here and not discussing one specific team, this noun must be plural. </w:t>
      </w:r>
    </w:p>
  </w:comment>
  <w:comment w:id="8" w:author="ProofreadingServices.com" w:date="2025-10-22T11:17:00Z" w:initials="PS">
    <w:p w14:paraId="5358D827" w14:textId="77777777" w:rsidR="0074561D" w:rsidRDefault="0074561D" w:rsidP="0074561D">
      <w:r>
        <w:rPr>
          <w:rStyle w:val="CommentReference"/>
        </w:rPr>
        <w:annotationRef/>
      </w:r>
      <w:r>
        <w:rPr>
          <w:sz w:val="20"/>
          <w:szCs w:val="20"/>
        </w:rPr>
        <w:t xml:space="preserve">None of the phrases in this list is an independent clause or contains a serial list with commas, so there is no need to use semicolons for separation here. Commas are the appropriate choice. </w:t>
      </w:r>
    </w:p>
  </w:comment>
  <w:comment w:id="9" w:author="ProofreadingServices.com" w:date="2025-10-22T11:13:00Z" w:initials="PS">
    <w:p w14:paraId="4998B6C8" w14:textId="4E99BE7A" w:rsidR="0074561D" w:rsidRDefault="0074561D" w:rsidP="0074561D">
      <w:r>
        <w:rPr>
          <w:rStyle w:val="CommentReference"/>
        </w:rPr>
        <w:annotationRef/>
      </w:r>
      <w:r>
        <w:rPr>
          <w:sz w:val="20"/>
          <w:szCs w:val="20"/>
        </w:rPr>
        <w:t xml:space="preserve">"Stakeholder values add distinct value" is redundant and therefore unclear. </w:t>
      </w:r>
    </w:p>
  </w:comment>
  <w:comment w:id="10" w:author="ProofreadingServices.com" w:date="2025-10-22T11:15:00Z" w:initials="PS">
    <w:p w14:paraId="5541134E" w14:textId="77777777" w:rsidR="0074561D" w:rsidRDefault="0074561D" w:rsidP="0074561D">
      <w:r>
        <w:rPr>
          <w:rStyle w:val="CommentReference"/>
        </w:rPr>
        <w:annotationRef/>
      </w:r>
      <w:r>
        <w:rPr>
          <w:sz w:val="20"/>
          <w:szCs w:val="20"/>
        </w:rPr>
        <w:t xml:space="preserve">Since the final verb phrase in this list contains a list separated by commas, the "outer" list here must be separated by semicolons for clarity.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A64AE2" w15:done="0"/>
  <w15:commentEx w15:paraId="3DF57490" w15:done="0"/>
  <w15:commentEx w15:paraId="3458C4C7" w15:done="0"/>
  <w15:commentEx w15:paraId="557E8EE7" w15:done="0"/>
  <w15:commentEx w15:paraId="7369631D" w15:done="0"/>
  <w15:commentEx w15:paraId="3718B6A4" w15:done="0"/>
  <w15:commentEx w15:paraId="24D12582" w15:done="0"/>
  <w15:commentEx w15:paraId="7041A0E5" w15:done="0"/>
  <w15:commentEx w15:paraId="5358D827" w15:done="0"/>
  <w15:commentEx w15:paraId="4998B6C8" w15:done="0"/>
  <w15:commentEx w15:paraId="5541134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F0CA2BA" w16cex:dateUtc="2025-10-22T15:00:00Z"/>
  <w16cex:commentExtensible w16cex:durableId="568F9CF0" w16cex:dateUtc="2025-10-22T14:12:00Z"/>
  <w16cex:commentExtensible w16cex:durableId="5545FF7F" w16cex:dateUtc="2025-10-22T15:03:00Z"/>
  <w16cex:commentExtensible w16cex:durableId="53ABD31E" w16cex:dateUtc="2025-10-22T14:17:00Z"/>
  <w16cex:commentExtensible w16cex:durableId="7C05E404" w16cex:dateUtc="2025-10-22T14:24:00Z"/>
  <w16cex:commentExtensible w16cex:durableId="2ED01E5A" w16cex:dateUtc="2025-10-22T14:29:00Z"/>
  <w16cex:commentExtensible w16cex:durableId="53C6FF2A" w16cex:dateUtc="2025-10-22T14:56:00Z"/>
  <w16cex:commentExtensible w16cex:durableId="002491A4" w16cex:dateUtc="2025-10-22T14:31:00Z"/>
  <w16cex:commentExtensible w16cex:durableId="0FD595B7" w16cex:dateUtc="2025-10-22T15:17:00Z"/>
  <w16cex:commentExtensible w16cex:durableId="5F2520FE" w16cex:dateUtc="2025-10-22T15:13:00Z"/>
  <w16cex:commentExtensible w16cex:durableId="564498C3" w16cex:dateUtc="2025-10-22T15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A64AE2" w16cid:durableId="7F0CA2BA"/>
  <w16cid:commentId w16cid:paraId="3DF57490" w16cid:durableId="568F9CF0"/>
  <w16cid:commentId w16cid:paraId="3458C4C7" w16cid:durableId="5545FF7F"/>
  <w16cid:commentId w16cid:paraId="557E8EE7" w16cid:durableId="53ABD31E"/>
  <w16cid:commentId w16cid:paraId="7369631D" w16cid:durableId="7C05E404"/>
  <w16cid:commentId w16cid:paraId="3718B6A4" w16cid:durableId="2ED01E5A"/>
  <w16cid:commentId w16cid:paraId="24D12582" w16cid:durableId="53C6FF2A"/>
  <w16cid:commentId w16cid:paraId="7041A0E5" w16cid:durableId="002491A4"/>
  <w16cid:commentId w16cid:paraId="5358D827" w16cid:durableId="0FD595B7"/>
  <w16cid:commentId w16cid:paraId="4998B6C8" w16cid:durableId="5F2520FE"/>
  <w16cid:commentId w16cid:paraId="5541134E" w16cid:durableId="564498C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B5278"/>
    <w:multiLevelType w:val="hybridMultilevel"/>
    <w:tmpl w:val="619E6C5A"/>
    <w:lvl w:ilvl="0" w:tplc="C74A0D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6703F"/>
    <w:multiLevelType w:val="hybridMultilevel"/>
    <w:tmpl w:val="01D2315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75095"/>
    <w:multiLevelType w:val="hybridMultilevel"/>
    <w:tmpl w:val="6B5AC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2145C"/>
    <w:multiLevelType w:val="hybridMultilevel"/>
    <w:tmpl w:val="A546E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300B7"/>
    <w:multiLevelType w:val="multilevel"/>
    <w:tmpl w:val="27E6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541708">
    <w:abstractNumId w:val="0"/>
  </w:num>
  <w:num w:numId="2" w16cid:durableId="1684549543">
    <w:abstractNumId w:val="3"/>
  </w:num>
  <w:num w:numId="3" w16cid:durableId="362286301">
    <w:abstractNumId w:val="1"/>
  </w:num>
  <w:num w:numId="4" w16cid:durableId="1628462949">
    <w:abstractNumId w:val="4"/>
  </w:num>
  <w:num w:numId="5" w16cid:durableId="154424726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roofreadingServices.com">
    <w15:presenceInfo w15:providerId="None" w15:userId="ProofreadingServices.co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16"/>
    <w:rsid w:val="00001555"/>
    <w:rsid w:val="000201F9"/>
    <w:rsid w:val="00023087"/>
    <w:rsid w:val="00025584"/>
    <w:rsid w:val="00060A74"/>
    <w:rsid w:val="00063584"/>
    <w:rsid w:val="00071202"/>
    <w:rsid w:val="0007313D"/>
    <w:rsid w:val="00082441"/>
    <w:rsid w:val="00094274"/>
    <w:rsid w:val="000973FA"/>
    <w:rsid w:val="000A054E"/>
    <w:rsid w:val="000A5E2B"/>
    <w:rsid w:val="000B432E"/>
    <w:rsid w:val="000B437A"/>
    <w:rsid w:val="000D579B"/>
    <w:rsid w:val="000E0C01"/>
    <w:rsid w:val="000E1736"/>
    <w:rsid w:val="000E2F88"/>
    <w:rsid w:val="000F163C"/>
    <w:rsid w:val="000F20DD"/>
    <w:rsid w:val="001079E9"/>
    <w:rsid w:val="00122B21"/>
    <w:rsid w:val="001538A6"/>
    <w:rsid w:val="00164512"/>
    <w:rsid w:val="00164902"/>
    <w:rsid w:val="00193E74"/>
    <w:rsid w:val="001B07DF"/>
    <w:rsid w:val="001B1467"/>
    <w:rsid w:val="001B2DF2"/>
    <w:rsid w:val="001E0482"/>
    <w:rsid w:val="001E33B8"/>
    <w:rsid w:val="001E3995"/>
    <w:rsid w:val="00207BE6"/>
    <w:rsid w:val="002139F7"/>
    <w:rsid w:val="002223F0"/>
    <w:rsid w:val="002259AD"/>
    <w:rsid w:val="00225FA3"/>
    <w:rsid w:val="00262381"/>
    <w:rsid w:val="00263198"/>
    <w:rsid w:val="00265393"/>
    <w:rsid w:val="00282E1A"/>
    <w:rsid w:val="00292F1B"/>
    <w:rsid w:val="002A6828"/>
    <w:rsid w:val="002C3B29"/>
    <w:rsid w:val="002C5BCB"/>
    <w:rsid w:val="002C7695"/>
    <w:rsid w:val="002D4074"/>
    <w:rsid w:val="00313E1B"/>
    <w:rsid w:val="0031692B"/>
    <w:rsid w:val="00322DB2"/>
    <w:rsid w:val="003244DF"/>
    <w:rsid w:val="00325523"/>
    <w:rsid w:val="003700CF"/>
    <w:rsid w:val="00373157"/>
    <w:rsid w:val="003873EA"/>
    <w:rsid w:val="00391965"/>
    <w:rsid w:val="00392701"/>
    <w:rsid w:val="003A4F8F"/>
    <w:rsid w:val="003B1E5E"/>
    <w:rsid w:val="003B3981"/>
    <w:rsid w:val="003C09F2"/>
    <w:rsid w:val="003C22CF"/>
    <w:rsid w:val="003D014E"/>
    <w:rsid w:val="003E309E"/>
    <w:rsid w:val="0041546A"/>
    <w:rsid w:val="00415BE5"/>
    <w:rsid w:val="0042059C"/>
    <w:rsid w:val="00423E1D"/>
    <w:rsid w:val="0042530F"/>
    <w:rsid w:val="00447C9D"/>
    <w:rsid w:val="004639EF"/>
    <w:rsid w:val="00481802"/>
    <w:rsid w:val="00485ABE"/>
    <w:rsid w:val="00491D35"/>
    <w:rsid w:val="004C1E6F"/>
    <w:rsid w:val="004C2A41"/>
    <w:rsid w:val="004C6440"/>
    <w:rsid w:val="004D15B0"/>
    <w:rsid w:val="004D70DA"/>
    <w:rsid w:val="004F32BC"/>
    <w:rsid w:val="00505BCC"/>
    <w:rsid w:val="005241D0"/>
    <w:rsid w:val="0054580D"/>
    <w:rsid w:val="00570325"/>
    <w:rsid w:val="00587718"/>
    <w:rsid w:val="005A5988"/>
    <w:rsid w:val="005B58C6"/>
    <w:rsid w:val="005D43CB"/>
    <w:rsid w:val="005E7ADA"/>
    <w:rsid w:val="005F2EFC"/>
    <w:rsid w:val="005F4D38"/>
    <w:rsid w:val="005F5B59"/>
    <w:rsid w:val="006226B3"/>
    <w:rsid w:val="0064582B"/>
    <w:rsid w:val="00657BFA"/>
    <w:rsid w:val="00686079"/>
    <w:rsid w:val="006D7B07"/>
    <w:rsid w:val="006F6E3D"/>
    <w:rsid w:val="00705228"/>
    <w:rsid w:val="007078B7"/>
    <w:rsid w:val="00713689"/>
    <w:rsid w:val="0074352C"/>
    <w:rsid w:val="0074561D"/>
    <w:rsid w:val="00751853"/>
    <w:rsid w:val="00757E0F"/>
    <w:rsid w:val="007651EE"/>
    <w:rsid w:val="00766649"/>
    <w:rsid w:val="00767B31"/>
    <w:rsid w:val="00790FF2"/>
    <w:rsid w:val="007A23F2"/>
    <w:rsid w:val="007B12C1"/>
    <w:rsid w:val="007C28D3"/>
    <w:rsid w:val="007C7DF0"/>
    <w:rsid w:val="007D1403"/>
    <w:rsid w:val="007F160F"/>
    <w:rsid w:val="007F2AFA"/>
    <w:rsid w:val="00804716"/>
    <w:rsid w:val="008056FC"/>
    <w:rsid w:val="00813B29"/>
    <w:rsid w:val="00813D2C"/>
    <w:rsid w:val="00815FFC"/>
    <w:rsid w:val="00834789"/>
    <w:rsid w:val="008514C6"/>
    <w:rsid w:val="00852313"/>
    <w:rsid w:val="008725D5"/>
    <w:rsid w:val="008830BB"/>
    <w:rsid w:val="0089069F"/>
    <w:rsid w:val="008A3715"/>
    <w:rsid w:val="008A7D6A"/>
    <w:rsid w:val="008B24B5"/>
    <w:rsid w:val="008B3C70"/>
    <w:rsid w:val="008C50CC"/>
    <w:rsid w:val="008C7CEF"/>
    <w:rsid w:val="008E5881"/>
    <w:rsid w:val="008F06B0"/>
    <w:rsid w:val="008F7F5A"/>
    <w:rsid w:val="0093354B"/>
    <w:rsid w:val="00940171"/>
    <w:rsid w:val="00950723"/>
    <w:rsid w:val="00951AFA"/>
    <w:rsid w:val="00951E75"/>
    <w:rsid w:val="00954615"/>
    <w:rsid w:val="00954899"/>
    <w:rsid w:val="00990FFB"/>
    <w:rsid w:val="009D581F"/>
    <w:rsid w:val="009F4D36"/>
    <w:rsid w:val="009F7BDF"/>
    <w:rsid w:val="00A1130C"/>
    <w:rsid w:val="00A205D8"/>
    <w:rsid w:val="00A24720"/>
    <w:rsid w:val="00A2636A"/>
    <w:rsid w:val="00A61AAF"/>
    <w:rsid w:val="00A74DFB"/>
    <w:rsid w:val="00AA4EE5"/>
    <w:rsid w:val="00AF1DFA"/>
    <w:rsid w:val="00AF7BE0"/>
    <w:rsid w:val="00B3303C"/>
    <w:rsid w:val="00B364DC"/>
    <w:rsid w:val="00B45CB6"/>
    <w:rsid w:val="00B551D4"/>
    <w:rsid w:val="00B62F54"/>
    <w:rsid w:val="00B70716"/>
    <w:rsid w:val="00B7184F"/>
    <w:rsid w:val="00B87C5D"/>
    <w:rsid w:val="00B925DD"/>
    <w:rsid w:val="00B94652"/>
    <w:rsid w:val="00BB0CAE"/>
    <w:rsid w:val="00BB3EE6"/>
    <w:rsid w:val="00BE56FD"/>
    <w:rsid w:val="00C170B9"/>
    <w:rsid w:val="00C2734A"/>
    <w:rsid w:val="00C36B82"/>
    <w:rsid w:val="00C42366"/>
    <w:rsid w:val="00C57A45"/>
    <w:rsid w:val="00C65958"/>
    <w:rsid w:val="00C9242C"/>
    <w:rsid w:val="00CC0BBF"/>
    <w:rsid w:val="00CD0DB3"/>
    <w:rsid w:val="00CD1020"/>
    <w:rsid w:val="00CF7381"/>
    <w:rsid w:val="00D01BE2"/>
    <w:rsid w:val="00D16F96"/>
    <w:rsid w:val="00D500D7"/>
    <w:rsid w:val="00D661F0"/>
    <w:rsid w:val="00D7391E"/>
    <w:rsid w:val="00D76193"/>
    <w:rsid w:val="00D850FC"/>
    <w:rsid w:val="00DB16F9"/>
    <w:rsid w:val="00DC54AE"/>
    <w:rsid w:val="00DF2054"/>
    <w:rsid w:val="00DF505E"/>
    <w:rsid w:val="00E02D5E"/>
    <w:rsid w:val="00E07212"/>
    <w:rsid w:val="00E10DEE"/>
    <w:rsid w:val="00E12AD9"/>
    <w:rsid w:val="00E15492"/>
    <w:rsid w:val="00E30F65"/>
    <w:rsid w:val="00E45A40"/>
    <w:rsid w:val="00E66C32"/>
    <w:rsid w:val="00E671D2"/>
    <w:rsid w:val="00E76032"/>
    <w:rsid w:val="00E77D36"/>
    <w:rsid w:val="00EA087B"/>
    <w:rsid w:val="00EB2AEE"/>
    <w:rsid w:val="00EB46CF"/>
    <w:rsid w:val="00EC03FF"/>
    <w:rsid w:val="00EC443E"/>
    <w:rsid w:val="00EC4C2D"/>
    <w:rsid w:val="00EC7253"/>
    <w:rsid w:val="00ED6165"/>
    <w:rsid w:val="00F1136F"/>
    <w:rsid w:val="00F22B3C"/>
    <w:rsid w:val="00F2385A"/>
    <w:rsid w:val="00F23A31"/>
    <w:rsid w:val="00F253DB"/>
    <w:rsid w:val="00F26069"/>
    <w:rsid w:val="00F457E2"/>
    <w:rsid w:val="00F659C8"/>
    <w:rsid w:val="00F71247"/>
    <w:rsid w:val="00F74508"/>
    <w:rsid w:val="00F80E6B"/>
    <w:rsid w:val="00FB6461"/>
    <w:rsid w:val="00FC5790"/>
    <w:rsid w:val="00FC6AAA"/>
    <w:rsid w:val="00FE1EBD"/>
    <w:rsid w:val="00FF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B5D89"/>
  <w15:chartTrackingRefBased/>
  <w15:docId w15:val="{F76C4907-06B0-4177-A8FC-A817A8AB9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649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734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54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46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66C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56F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6490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164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C7DF0"/>
    <w:rPr>
      <w:i/>
      <w:iCs/>
    </w:rPr>
  </w:style>
  <w:style w:type="character" w:styleId="Strong">
    <w:name w:val="Strong"/>
    <w:basedOn w:val="DefaultParagraphFont"/>
    <w:uiPriority w:val="22"/>
    <w:qFormat/>
    <w:rsid w:val="001079E9"/>
    <w:rPr>
      <w:b/>
      <w:bCs/>
    </w:rPr>
  </w:style>
  <w:style w:type="paragraph" w:styleId="Revision">
    <w:name w:val="Revision"/>
    <w:hidden/>
    <w:uiPriority w:val="99"/>
    <w:semiHidden/>
    <w:rsid w:val="0058771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205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05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05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05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05D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3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6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6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7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83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3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762</Words>
  <Characters>5013</Characters>
  <Application>Microsoft Office Word</Application>
  <DocSecurity>0</DocSecurity>
  <Lines>71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Vu Ngo</dc:creator>
  <cp:keywords/>
  <dc:description/>
  <cp:lastModifiedBy>ProofreadingServices.com</cp:lastModifiedBy>
  <cp:revision>2</cp:revision>
  <dcterms:created xsi:type="dcterms:W3CDTF">2025-10-22T15:17:00Z</dcterms:created>
  <dcterms:modified xsi:type="dcterms:W3CDTF">2025-10-22T15:17:00Z</dcterms:modified>
</cp:coreProperties>
</file>