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1B365D"/>
          <w:sz w:val="36"/>
        </w:rPr>
        <w:t>Chính Sách Và Quy Định Chung - Cửa Hàng Phong Thủy Hoa Mộc Lan</w:t>
      </w:r>
    </w:p>
    <w:p>
      <w:pPr>
        <w:spacing w:before="0" w:after="240"/>
      </w:pPr>
      <w:r>
        <w:rPr>
          <w:rFonts w:ascii="Arial" w:hAnsi="Arial"/>
          <w:i/>
          <w:color w:val="64748B"/>
          <w:sz w:val="19"/>
        </w:rPr>
        <w:t>Ngày: 2015-03-21   |   Chuyên mục: Quy Định &amp; Thỏa Thuận   |   Loại: Post   |   Nguồn: thegioidaquy.net</w:t>
      </w:r>
    </w:p>
    <w:p>
      <w:pPr>
        <w:spacing w:before="0" w:after="240"/>
      </w:pPr>
      <w:r>
        <w:rPr>
          <w:color w:val="CBD5E1"/>
          <w:sz w:val="16"/>
        </w:rPr>
        <w:t>_______________________________________________________________________________</w:t>
      </w:r>
    </w:p>
    <w:p>
      <w:pPr>
        <w:spacing w:before="40" w:after="80"/>
      </w:pPr>
      <w:r>
        <w:rPr>
          <w:rFonts w:ascii="Arial" w:hAnsi="Arial"/>
          <w:sz w:val="21"/>
        </w:rPr>
        <w:t>Ngày cập nhật: 2015-03-21</w:t>
      </w:r>
    </w:p>
    <w:p>
      <w:pPr>
        <w:spacing w:before="40" w:after="80"/>
      </w:pPr>
      <w:r>
        <w:rPr>
          <w:rFonts w:ascii="Arial" w:hAnsi="Arial"/>
          <w:sz w:val="21"/>
        </w:rPr>
        <w:t>Chuyên mục: Quy định &amp; Thỏa thuận</w:t>
      </w:r>
    </w:p>
    <w:p>
      <w:pPr>
        <w:spacing w:before="40" w:after="80"/>
      </w:pPr>
      <w:r>
        <w:rPr>
          <w:rFonts w:ascii="Arial" w:hAnsi="Arial"/>
          <w:sz w:val="21"/>
        </w:rPr>
        <w:t>Link gốc: https://thegioidaquy.net/tin-tuc/Chinh-Sach-va-Quy-Dinh-Chung-1994.html</w:t>
      </w:r>
    </w:p>
    <w:p>
      <w:pPr>
        <w:spacing w:before="120" w:after="120"/>
        <w:jc w:val="center"/>
      </w:pPr>
      <w:r>
        <w:rPr>
          <w:i/>
          <w:color w:val="64748B"/>
          <w:sz w:val="19"/>
        </w:rPr>
        <w:t>[Hình ảnh: Chính Sách và Quy Định Chung]</w:t>
      </w:r>
    </w:p>
    <w:p>
      <w:pPr>
        <w:spacing w:before="40" w:after="80"/>
      </w:pPr>
      <w:r>
        <w:rPr>
          <w:rFonts w:ascii="Arial" w:hAnsi="Arial"/>
          <w:sz w:val="21"/>
        </w:rPr>
        <w:t>CHÍNH SÁCH VÀ QUY ĐỊNH CHUNG</w:t>
      </w:r>
    </w:p>
    <w:p>
      <w:pPr>
        <w:spacing w:before="40" w:after="80"/>
      </w:pPr>
      <w:r>
        <w:rPr>
          <w:rFonts w:ascii="Arial" w:hAnsi="Arial"/>
          <w:sz w:val="21"/>
        </w:rPr>
        <w:t>QUY ĐỊNH VỀ NGHĨA VỤ CỦA NGƯỜI BÁN VÀ NGƯỜI MUA</w:t>
      </w:r>
    </w:p>
    <w:p>
      <w:pPr>
        <w:spacing w:before="40" w:after="80"/>
      </w:pPr>
      <w:r>
        <w:rPr>
          <w:rFonts w:ascii="Arial" w:hAnsi="Arial"/>
          <w:sz w:val="21"/>
        </w:rPr>
        <w:t>– Nghĩa vụ của Người bán:</w:t>
      </w:r>
    </w:p>
    <w:p>
      <w:pPr>
        <w:spacing w:before="40" w:after="80"/>
      </w:pPr>
      <w:r>
        <w:rPr>
          <w:rFonts w:ascii="Arial" w:hAnsi="Arial"/>
          <w:sz w:val="21"/>
        </w:rPr>
        <w:t>+ Tư vấn, hướng dẫn tất cả các thông tin liên quan tới sản phẩm để Người mua hiểu và có thể sử dụng dịch vụ.</w:t>
      </w:r>
    </w:p>
    <w:p>
      <w:pPr>
        <w:spacing w:before="40" w:after="80"/>
      </w:pPr>
      <w:r>
        <w:rPr>
          <w:rFonts w:ascii="Arial" w:hAnsi="Arial"/>
          <w:sz w:val="21"/>
        </w:rPr>
        <w:t>+ Cung cấp đẩy đủ sản phẩm cho Người mua đúng thời hạn và số lượng sau khi Người mua đã thanh toán đầy đủ cho Người bán.</w:t>
      </w:r>
    </w:p>
    <w:p>
      <w:pPr>
        <w:spacing w:before="40" w:after="80"/>
      </w:pPr>
      <w:r>
        <w:rPr>
          <w:rFonts w:ascii="Arial" w:hAnsi="Arial"/>
          <w:sz w:val="21"/>
        </w:rPr>
        <w:t>+ Hỗ trợ Người mua trong việc giải quyết các khiếu nại, thắc mắc và những khó khăn trong quá trình sử dụng sản phẩm.</w:t>
      </w:r>
    </w:p>
    <w:p>
      <w:pPr>
        <w:spacing w:before="40" w:after="80"/>
      </w:pPr>
      <w:r>
        <w:rPr>
          <w:rFonts w:ascii="Arial" w:hAnsi="Arial"/>
          <w:sz w:val="21"/>
        </w:rPr>
        <w:t>+ Cung cấp các chứng từ liên quan tới việc Người mua thanh toán cho Người bán như phiếu thu, hóa đơn,… với tổng số tiền mà Người mua đã đặt trong tháng theo yêu cầu.</w:t>
      </w:r>
    </w:p>
    <w:p>
      <w:pPr>
        <w:spacing w:before="40" w:after="80"/>
      </w:pPr>
      <w:r>
        <w:rPr>
          <w:rFonts w:ascii="Arial" w:hAnsi="Arial"/>
          <w:sz w:val="21"/>
        </w:rPr>
        <w:t>– Nghĩa vụ của Người mua:</w:t>
      </w:r>
    </w:p>
    <w:p>
      <w:pPr>
        <w:spacing w:before="40" w:after="80"/>
      </w:pPr>
      <w:r>
        <w:rPr>
          <w:rFonts w:ascii="Arial" w:hAnsi="Arial"/>
          <w:sz w:val="21"/>
        </w:rPr>
        <w:t>+ Thực hiện đúng các quy trình, quy định liên quan tới dịch vụ do Người bán quy định.</w:t>
      </w:r>
    </w:p>
    <w:p>
      <w:pPr>
        <w:spacing w:before="40" w:after="80"/>
      </w:pPr>
      <w:r>
        <w:rPr>
          <w:rFonts w:ascii="Arial" w:hAnsi="Arial"/>
          <w:sz w:val="21"/>
        </w:rPr>
        <w:t>+ Thanh toán cho Người bán đầy đủ số tiền theo đơn đặt hàng kèm theo các chứng từ, hóa đơn theo quy định (Nếu có).</w:t>
      </w:r>
    </w:p>
    <w:p>
      <w:pPr>
        <w:spacing w:before="40" w:after="80"/>
      </w:pPr>
      <w:r>
        <w:rPr>
          <w:rFonts w:ascii="Arial" w:hAnsi="Arial"/>
          <w:sz w:val="21"/>
        </w:rPr>
        <w:t>+ Hỗ trợ và cung cấp thông tin đầy đủ cho Người bán liên quan tới các giao dịch khi Người bán có yêu cầu.</w:t>
      </w:r>
    </w:p>
    <w:p>
      <w:pPr>
        <w:spacing w:before="40" w:after="80"/>
      </w:pPr>
      <w:r>
        <w:rPr>
          <w:rFonts w:ascii="Arial" w:hAnsi="Arial"/>
          <w:sz w:val="21"/>
        </w:rPr>
        <w:t>QUY ĐỊNH VỀ CHÍNH SÁCH HOÀN TIỀN GIAO DỊCH</w:t>
      </w:r>
    </w:p>
    <w:p>
      <w:pPr>
        <w:spacing w:before="40" w:after="80"/>
      </w:pPr>
      <w:r>
        <w:rPr>
          <w:rFonts w:ascii="Arial" w:hAnsi="Arial"/>
          <w:sz w:val="21"/>
        </w:rPr>
        <w:t>– Với các giao dịch mua hàng ngay tại cửa hàng, trong trường hợp lỗi không có hàng khác thay thế thì chúng tôi hoàn tiền bằng tiền mặt.</w:t>
      </w:r>
    </w:p>
    <w:p>
      <w:pPr>
        <w:spacing w:before="40" w:after="80"/>
      </w:pPr>
      <w:r>
        <w:rPr>
          <w:rFonts w:ascii="Arial" w:hAnsi="Arial"/>
          <w:sz w:val="21"/>
        </w:rPr>
        <w:t>– Với các giao dịch online trong trường hơp phải hoàn trả khách do trả thừa tiền hoặc khách không mua hàng nữa thì chúng tôi sẽ chuyển vào tài khoản ngân hàng do hai bên thỏa thuận.</w:t>
      </w:r>
    </w:p>
    <w:p>
      <w:pPr>
        <w:spacing w:before="40" w:after="80"/>
      </w:pPr>
      <w:r>
        <w:rPr>
          <w:rFonts w:ascii="Arial" w:hAnsi="Arial"/>
          <w:sz w:val="21"/>
        </w:rPr>
        <w:t>QUY ĐỊNH VỀ QUY TRÌNH XỬ LÝ KHIẾU NẠI</w:t>
      </w:r>
    </w:p>
    <w:p>
      <w:pPr>
        <w:spacing w:before="40" w:after="80"/>
      </w:pPr>
      <w:r>
        <w:rPr>
          <w:rFonts w:ascii="Arial" w:hAnsi="Arial"/>
          <w:sz w:val="21"/>
        </w:rPr>
        <w:t>– Tiếp nhận mọi khiếu nại của khách hàng liên quan đến việc sử dụng dịch sản phẩm của cửa hàng.</w:t>
      </w:r>
    </w:p>
    <w:p>
      <w:pPr>
        <w:spacing w:before="40" w:after="80"/>
      </w:pPr>
      <w:r>
        <w:rPr>
          <w:rFonts w:ascii="Arial" w:hAnsi="Arial"/>
          <w:sz w:val="21"/>
        </w:rPr>
        <w:t>– Tất cả mọi trường hợp bảo hành, đổi trả theo thoả thuận, quý khách phải tới địa điểm giao dịch của chúng tôi để làm thủ tục bảo hành.</w:t>
      </w:r>
    </w:p>
    <w:p>
      <w:pPr>
        <w:spacing w:before="40" w:after="80"/>
      </w:pPr>
      <w:r>
        <w:rPr>
          <w:rFonts w:ascii="Arial" w:hAnsi="Arial"/>
          <w:sz w:val="21"/>
        </w:rPr>
        <w:t>– Thời gian giải quyết khiếu nại trong thời hạn tối đa là 03 (ba) ngày làm việc kể từ khi nhận được khiếu nại của của khách hàng. Trong trường hợp bất khả kháng 2 bên sẽ tự thương lượng.</w:t>
      </w:r>
    </w:p>
    <w:p>
      <w:pPr>
        <w:spacing w:before="40" w:after="80"/>
      </w:pPr>
      <w:r>
        <w:rPr>
          <w:rFonts w:ascii="Arial" w:hAnsi="Arial"/>
          <w:sz w:val="21"/>
        </w:rPr>
        <w:t>THỜI GIAN LƯU TRỮ THÔNG TIN</w:t>
      </w:r>
    </w:p>
    <w:p>
      <w:pPr>
        <w:spacing w:before="40" w:after="80"/>
      </w:pPr>
      <w:r>
        <w:rPr>
          <w:rFonts w:ascii="Arial" w:hAnsi="Arial"/>
          <w:sz w:val="21"/>
        </w:rPr>
        <w:t>– Bảo quản, lưu trữ những thông tin dữ liệu giao dịch của khách hàng trong vòng 06 tháng kể từ ngày thực hiện giao dịch.</w:t>
      </w:r>
    </w:p>
    <w:p>
      <w:pPr>
        <w:spacing w:before="40" w:after="80"/>
      </w:pPr>
      <w:r>
        <w:rPr>
          <w:rFonts w:ascii="Arial" w:hAnsi="Arial"/>
          <w:sz w:val="21"/>
        </w:rPr>
        <w:t>– Lưu giữ các chứng từ liên quan đến khiếu nại của khách hàng trong thời gian 06 tháng, kể từ ngày kết quả tra soát xét được khách hàng chấp nhận.</w:t>
      </w:r>
    </w:p>
    <w:p>
      <w:pPr>
        <w:spacing w:before="40" w:after="80"/>
      </w:pPr>
      <w:r>
        <w:rPr>
          <w:rFonts w:ascii="Arial" w:hAnsi="Arial"/>
          <w:sz w:val="21"/>
        </w:rPr>
        <w:t>QUY ĐỊNH VỀ BẢO MẬT THÔNG TIN</w:t>
      </w:r>
    </w:p>
    <w:p>
      <w:pPr>
        <w:spacing w:before="40" w:after="80"/>
      </w:pPr>
      <w:r>
        <w:rPr>
          <w:rFonts w:ascii="Arial" w:hAnsi="Arial"/>
          <w:sz w:val="21"/>
        </w:rPr>
        <w:t>– Các thông tin của Khách hàng khi sử dụng sản phẩm trên trang web TheGioiDaQuy.net sẽ được bảo mật và không tiết lộ Thông tin cá nhân của Quý Khách cho bên thứ ba không liên quan khi không có sự đồng ý của Quý Khách hàng.</w:t>
      </w:r>
    </w:p>
    <w:p>
      <w:pPr>
        <w:spacing w:before="40" w:after="80"/>
      </w:pPr>
      <w:r>
        <w:rPr>
          <w:rFonts w:ascii="Arial" w:hAnsi="Arial"/>
          <w:sz w:val="21"/>
        </w:rPr>
        <w:t>– Sử dụng thông tin cá nhân: Trong trường hợp cần thiết, TheGioiDaQuy.net có thể sử dụng thông tin của Khách hàng trên hệ thống để liên hệ như gọi điện, gửi mail, thư cảm ơn,…</w:t>
      </w:r>
    </w:p>
    <w:p>
      <w:pPr>
        <w:spacing w:before="40" w:after="80"/>
      </w:pPr>
      <w:r>
        <w:rPr>
          <w:rFonts w:ascii="Arial" w:hAnsi="Arial"/>
          <w:sz w:val="21"/>
        </w:rPr>
        <w:t>– Chia sẻ thông tin cá nhân: Công ty cam kết không tiết lộ bất kỳ thông tin nào của Khách hàng. Ngoại trừ một số trường hợp cần thiết như: khi có yêu cầu của các cơ quan pháp luật, trong trường hợp mà chúng tôi tin rằng điều đó sẽ giúp chúng tôi bảo vệ quyền lợi chính đáng của mình trước pháp luật,…</w:t>
      </w:r>
    </w:p>
    <w:p>
      <w:pPr>
        <w:spacing w:before="40" w:after="80"/>
      </w:pPr>
      <w:r>
        <w:rPr>
          <w:rFonts w:ascii="Arial" w:hAnsi="Arial"/>
          <w:sz w:val="21"/>
        </w:rPr>
        <w:t>THÔNG TIN LIÊN HỆ</w:t>
      </w:r>
    </w:p>
    <w:p>
      <w:pPr>
        <w:spacing w:before="40" w:after="80"/>
      </w:pPr>
      <w:r>
        <w:rPr>
          <w:rFonts w:ascii="Arial" w:hAnsi="Arial"/>
          <w:sz w:val="21"/>
        </w:rPr>
        <w:t>Mọi thông tin liên hệ, đóng góp ý kiến liên quan xin vui lòng liên hệ theo địa chỉ sau:</w:t>
      </w:r>
    </w:p>
    <w:p>
      <w:pPr>
        <w:spacing w:before="40" w:after="80"/>
      </w:pPr>
      <w:r>
        <w:rPr>
          <w:rFonts w:ascii="Arial" w:hAnsi="Arial"/>
          <w:sz w:val="21"/>
        </w:rPr>
        <w:t>Cửa hàng</w:t>
      </w:r>
    </w:p>
    <w:p>
      <w:pPr>
        <w:spacing w:before="40" w:after="80"/>
      </w:pPr>
      <w:r>
        <w:rPr>
          <w:rFonts w:ascii="Arial" w:hAnsi="Arial"/>
          <w:sz w:val="21"/>
        </w:rPr>
        <w:t>Phong Thủy HOA MỘC LAN</w:t>
      </w:r>
    </w:p>
    <w:p>
      <w:pPr>
        <w:spacing w:before="40" w:after="80"/>
      </w:pPr>
      <w:r>
        <w:rPr>
          <w:rFonts w:ascii="Arial" w:hAnsi="Arial"/>
          <w:sz w:val="21"/>
        </w:rPr>
        <w:t>Địa chỉ:</w:t>
      </w:r>
    </w:p>
    <w:p>
      <w:pPr>
        <w:spacing w:before="40" w:after="80"/>
      </w:pPr>
      <w:r>
        <w:rPr>
          <w:rFonts w:ascii="Arial" w:hAnsi="Arial"/>
          <w:sz w:val="21"/>
        </w:rPr>
        <w:t>1163 Đường 3 tháng 2, P.6, Q.11,</w:t>
      </w:r>
    </w:p>
    <w:p>
      <w:pPr>
        <w:spacing w:before="40" w:after="80"/>
      </w:pPr>
      <w:r>
        <w:rPr>
          <w:rFonts w:ascii="Arial" w:hAnsi="Arial"/>
          <w:sz w:val="21"/>
        </w:rPr>
        <w:t>Tp. Hồ Chí Minh</w:t>
      </w:r>
    </w:p>
    <w:p>
      <w:pPr>
        <w:spacing w:before="40" w:after="80"/>
      </w:pPr>
      <w:r>
        <w:rPr>
          <w:rFonts w:ascii="Arial" w:hAnsi="Arial"/>
          <w:sz w:val="21"/>
        </w:rPr>
        <w:t>Chủ cửa hàng: Đoàn Quốc Sơn</w:t>
      </w:r>
    </w:p>
    <w:p>
      <w:pPr>
        <w:spacing w:before="40" w:after="80"/>
      </w:pPr>
      <w:r>
        <w:rPr>
          <w:rFonts w:ascii="Arial" w:hAnsi="Arial"/>
          <w:sz w:val="21"/>
        </w:rPr>
        <w:t>Điện thoại: 0909.468.057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