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Bảo Tàng Mỹ Thuật TP.HCM: Trầm Tích Nghệ Thuật Trong Dinh Thự Chú Hỏa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["Bảo tàng Mỹ thuật TP.HCM", "Nhà Chú Hỏa", "Hứa Bổn Hỏa", "Art Deco Sài Gòn", "Quận 1", "Di tích lịch sử",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“Trong bản đồ những điểm đến văn hóa quanh Bến Thành, có một nơi mà thời gian dường như ngưng đọng trên từng phiến gạch bông cổ điển và từng dải quang phổ rọi qua khung kính màu. Đó là Dinh thự số 97A Phó Đức Chính – nơi từng lưu giữ câu chuyện về gia tộc giàu có bậc nhất phương Nam, nay trở thành thánh đường mỹ thuật tĩnh lặng bậc nhất giữa lòng Sài Gòn náo nhiệt.”</w:t>
            </w:r>
          </w:p>
        </w:tc>
      </w:tr>
    </w:tbl>
    <w:p>
      <w:pPr>
        <w:spacing w:before="0" w:after="80"/>
      </w:pPr>
    </w:p>
    <w:p>
      <w:pPr>
        <w:spacing w:before="40" w:after="120" w:line="276" w:lineRule="auto"/>
      </w:pP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u w:val="single"/>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Thực Địa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Địa chỉ tọa độ</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Phong cách kiến trúc</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Niên đại khởi dựng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Giá vé tham quan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97A Phó Đức Chính, Phường Nguyễn Thái Bình, Quận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Art Deco kết hợp Hậu Tân Cổ Điển &amp; Á Đông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1929 – 1934 (Kiến trúc sư Rivera)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VNĐ / người lớn (15.000 VNĐ HSSV)</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Dinh Thự Mỹ Thuật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rPr>
          <w:color w:val="CBD5E1"/>
        </w:rPr>
        <w:t>―――――――――――――――――――――――――――――――――――――――――――――</w:t>
      </w:r>
    </w:p>
    <w:p>
      <w:pPr>
        <w:keepNext/>
        <w:spacing w:before="320" w:after="120" w:line="276" w:lineRule="auto"/>
      </w:pPr>
      <w:r>
        <w:rPr>
          <w:rFonts w:ascii="Calibri" w:hAnsi="Calibri"/>
          <w:b/>
          <w:color w:val="1B365D"/>
          <w:sz w:val="32"/>
        </w:rPr>
        <w:t>1. Huyền Thoại Gia Tộc Hứa Bổn Hỏa Và Dấu Ấn Đô Thị Sài Gòn</w:t>
      </w:r>
    </w:p>
    <w:p>
      <w:pPr>
        <w:spacing w:before="40" w:after="120" w:line="276" w:lineRule="auto"/>
      </w:pP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rPr>
          <w:color w:val="CBD5E1"/>
        </w:rPr>
        <w:t>―――――――――――――――――――――――――――――――――――――――――――――</w:t>
      </w:r>
    </w:p>
    <w:p>
      <w:pPr>
        <w:keepNext/>
        <w:spacing w:before="320" w:after="120" w:line="276" w:lineRule="auto"/>
      </w:pPr>
      <w:r>
        <w:rPr>
          <w:rFonts w:ascii="Calibri" w:hAnsi="Calibri"/>
          <w:b/>
          <w:color w:val="1B365D"/>
          <w:sz w:val="32"/>
        </w:rPr>
        <w:t>2. Giải Mã Bản Giao Hưởng Kiến Trúc Art Deco &amp; Phong Thủy Á Đông</w:t>
      </w:r>
    </w:p>
    <w:p>
      <w:pPr>
        <w:spacing w:before="40" w:after="120" w:line="276" w:lineRule="auto"/>
      </w:pP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keepNext/>
        <w:spacing w:before="240" w:after="80" w:line="276" w:lineRule="auto"/>
      </w:pPr>
      <w:r>
        <w:rPr>
          <w:rFonts w:ascii="Calibri" w:hAnsi="Calibri"/>
          <w:b/>
          <w:color w:val="D97706"/>
          <w:sz w:val="26"/>
        </w:rPr>
        <w:t>2.1. Ngoại Thất: Giao Thoa Giữa Cột Thức Châu Âu Và Mái Ngói Lưu Ly</w:t>
      </w:r>
    </w:p>
    <w:p>
      <w:pPr>
        <w:spacing w:before="40" w:after="120" w:line="276" w:lineRule="auto"/>
      </w:pP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keepNext/>
        <w:spacing w:before="240" w:after="80" w:line="276" w:lineRule="auto"/>
      </w:pPr>
      <w:r>
        <w:rPr>
          <w:rFonts w:ascii="Calibri" w:hAnsi="Calibri"/>
          <w:b/>
          <w:color w:val="D97706"/>
          <w:sz w:val="26"/>
        </w:rPr>
        <w:t>2.2. Nội Thất: Bữa Tiệc Của Ánh Sáng Kính Màu Và Hoa Văn Gạch Bông</w:t>
      </w:r>
    </w:p>
    <w:p>
      <w:pPr>
        <w:spacing w:before="40" w:after="120" w:line="276" w:lineRule="auto"/>
      </w:pP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keepNext/>
        <w:spacing w:before="240" w:after="80" w:line="276" w:lineRule="auto"/>
      </w:pPr>
      <w:r>
        <w:rPr>
          <w:rFonts w:ascii="Calibri" w:hAnsi="Calibri"/>
          <w:b/>
          <w:color w:val="D97706"/>
          <w:sz w:val="26"/>
        </w:rPr>
        <w:t>2.3. Tòa Thang Máy Cổ: Dấu Ấn Tiên Phong Công Nghệ Thế Kỷ Trước</w:t>
      </w:r>
    </w:p>
    <w:p>
      <w:pPr>
        <w:spacing w:before="40" w:after="120" w:line="276" w:lineRule="auto"/>
      </w:pP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rPr>
          <w:color w:val="CBD5E1"/>
        </w:rPr>
        <w:t>―――――――――――――――――――――――――――――――――――――――――――――</w:t>
      </w:r>
    </w:p>
    <w:p>
      <w:pPr>
        <w:keepNext/>
        <w:spacing w:before="320" w:after="120" w:line="276" w:lineRule="auto"/>
      </w:pPr>
      <w:r>
        <w:rPr>
          <w:rFonts w:ascii="Calibri" w:hAnsi="Calibri"/>
          <w:b/>
          <w:color w:val="1B365D"/>
          <w:sz w:val="32"/>
        </w:rPr>
        <w:t>3. Khám Phá 3 Tòa Nhà: Kho Tàng Mỹ Thuật Qua Hàng Thiên Niên Kỷ</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Chủ Đề Trưng Bày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Các Hiện Vật &amp; Tác Phẩm Đỉnh Cao</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Khuyến Nghị</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1 (Khối Chính)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Hiện đại &amp; Đương đại Việt Nam (Thế kỷ 20 – 21)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Vườn xuân Trung Nam Bắc (Nguyễn Gia Trí), tranh lụa Nguyễn Phan Chánh, ký họa kháng chiến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ánh sáng kính màu tại sảnh tầng 2 và tầng 3</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Tòa Nhà 2 (Khối Phía Sau)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Triển lãm Chuyên đề &amp; Giao lưu Quốc tế</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Các bộ sưu tập cá nhân, triển lãm luân phiên của nghệ sĩ đương đại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nghệ thuật thử nghiệm và sắp đặt mới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3 (Khối Cổ Vật)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Cổ truyền &amp; Điêu khắc Khảo cổ học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Tượng đá Chăm Pa thế kỷ 7 – 12, cổ vật Óc Eo - Phù Nam, gốm men thời Lý - Trần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nghiệm chiều sâu lịch sử cổ đại phương Nam</w:t>
            </w:r>
          </w:p>
        </w:tc>
      </w:tr>
    </w:tbl>
    <w:p>
      <w:pPr>
        <w:spacing w:before="0" w:after="80"/>
      </w:pPr>
    </w:p>
    <w:p>
      <w:pPr>
        <w:keepNext/>
        <w:spacing w:before="240" w:after="80" w:line="276" w:lineRule="auto"/>
      </w:pPr>
      <w:r>
        <w:rPr>
          <w:rFonts w:ascii="Calibri" w:hAnsi="Calibri"/>
          <w:b/>
          <w:color w:val="D97706"/>
          <w:sz w:val="26"/>
        </w:rPr>
        <w:t>Kiệt Tác Trọng Tâm: "Vườn Xuân Trung Nam Bắc" (Bảo Vật Quốc Gia)</w:t>
      </w:r>
    </w:p>
    <w:p>
      <w:pPr>
        <w:spacing w:before="40" w:after="120" w:line="276" w:lineRule="auto"/>
      </w:pP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rPr>
          <w:color w:val="CBD5E1"/>
        </w:rPr>
        <w:t>―――――――――――――――――――――――――――――――――――――――――――――</w:t>
      </w:r>
    </w:p>
    <w:p>
      <w:pPr>
        <w:keepNext/>
        <w:spacing w:before="320" w:after="120" w:line="276" w:lineRule="auto"/>
      </w:pPr>
      <w:r>
        <w:rPr>
          <w:rFonts w:ascii="Calibri" w:hAnsi="Calibri"/>
          <w:b/>
          <w:color w:val="1B365D"/>
          <w:sz w:val="32"/>
        </w:rPr>
        <w:t>4. Kinh Nghiệm Thực Địa Cho Người Du Hành Có GUU (Field Notes 2026)</w:t>
      </w:r>
    </w:p>
    <w:p>
      <w:pPr>
        <w:pStyle w:val="ListBullet"/>
        <w:spacing w:before="20" w:after="40" w:line="276" w:lineRule="auto"/>
      </w:pP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u w:val="single"/>
        </w:rPr>
        <w:t>Dinh Độc Lập</w:t>
      </w:r>
      <w:r>
        <w:rPr>
          <w:rFonts w:ascii="Calibri" w:hAnsi="Calibri"/>
          <w:color w:val="1E293B"/>
          <w:sz w:val="20"/>
        </w:rPr>
        <w:t xml:space="preserve"> hoặc Ga ngầm </w:t>
      </w:r>
      <w:r>
        <w:rPr>
          <w:rFonts w:ascii="Calibri" w:hAnsi="Calibri"/>
          <w:color w:val="D97706"/>
          <w:sz w:val="20"/>
          <w:u w:val="single"/>
        </w:rPr>
        <w:t>Metro Bến Thành</w:t>
      </w:r>
      <w:r>
        <w:rPr>
          <w:rFonts w:ascii="Calibri" w:hAnsi="Calibri"/>
          <w:color w:val="1E293B"/>
          <w:sz w:val="20"/>
        </w:rPr>
        <w:t>.</w:t>
      </w:r>
    </w:p>
    <w:p>
      <w:pPr>
        <w:pStyle w:val="ListBullet"/>
        <w:spacing w:before="20" w:after="40" w:line="276" w:lineRule="auto"/>
      </w:pP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Khoảng Lặng Thanh Tao Giữa Lòng Đô Thị</w:t>
      </w:r>
    </w:p>
    <w:p>
      <w:pPr>
        <w:spacing w:before="40" w:after="120" w:line="276" w:lineRule="auto"/>
      </w:pP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