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TRƯỜNG ĐẠI HỌC NGUYỄN TẤT THÀNH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VIỆN ĐÀO TẠO QUỐC TẾ NIIE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BÁO CÁO MÔN HỌC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MÔ HÌNH AGILE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color w:val="000000"/>
          <w:sz w:val="38"/>
        </w:rPr>
        <w:t>THUYẾT MINH BỘ SƠ ĐỒ</w:t>
      </w:r>
    </w:p>
    <w:p>
      <w:pPr>
        <w:spacing w:after="44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6"/>
        </w:rPr>
        <w:t>Sơ đồ kiến trúc, Use Case, Activity, Sequence và Scrum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Thông tin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Nội dung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Giảng viên hướng dẫn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ThS. Trần Thanh Nhã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Nhóm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JD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Lớp học phần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Học kỳ / Năm học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Học kỳ 3 - Năm học 2025-2026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Thành viên 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8"/>
              </w:rPr>
              <w:t>2000004897 - Huỳnh Lê Thành Nhân (Product Owner / Full-stack Developer)</w:t>
            </w:r>
          </w:p>
        </w:tc>
      </w:tr>
    </w:tbl>
    <w:p>
      <w:pPr>
        <w:spacing w:before="80" w:after="80"/>
      </w:pPr>
    </w:p>
    <w:p>
      <w:pPr>
        <w:spacing w:before="3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TP. Hồ Chí Minh, tháng 7 năm 2026</w:t>
      </w:r>
    </w:p>
    <w:p>
      <w:r>
        <w:br w:type="page"/>
      </w:r>
    </w:p>
    <w:p>
      <w:pPr>
        <w:pStyle w:val="Heading1"/>
      </w:pPr>
      <w:r>
        <w:t>Quy ước giải thích chung</w:t>
      </w:r>
    </w:p>
    <w:p>
      <w:r>
        <w:rPr>
          <w:rFonts w:ascii="Calibri" w:hAnsi="Calibri" w:eastAsia="Calibri"/>
          <w:i w:val="0"/>
        </w:rPr>
        <w:t>Các sơ đồ dùng cùng ngôn ngữ màu và hướng mũi tên. Phần giải thích chung này áp dụng cho toàn bộ bộ sơ đồ; mỗi mục sau chỉ nêu mục tiêu và điểm cần đọc riêng, tránh lặp lại nội dung.</w:t>
      </w:r>
    </w:p>
    <w:p>
      <w:pPr>
        <w:pStyle w:val="ListBullet"/>
      </w:pPr>
      <w:r>
        <w:t>Khối xanh: thành phần ứng dụng hoặc miền nghiệp vụ.</w:t>
      </w:r>
    </w:p>
    <w:p>
      <w:pPr>
        <w:pStyle w:val="ListBullet"/>
      </w:pPr>
      <w:r>
        <w:t>Khối vàng: bước kiểm tra, giao dịch hoặc quyết định.</w:t>
      </w:r>
    </w:p>
    <w:p>
      <w:pPr>
        <w:pStyle w:val="ListBullet"/>
      </w:pPr>
      <w:r>
        <w:t>Khối đỏ: dependency/rủi ro hoặc điểm cần kiểm soát.</w:t>
      </w:r>
    </w:p>
    <w:p>
      <w:pPr>
        <w:pStyle w:val="ListBullet"/>
      </w:pPr>
      <w:r>
        <w:t>Mũi tên: lời gọi, phụ thuộc, luồng dữ liệu hoặc chuyển trạng thái.</w:t>
      </w:r>
    </w:p>
    <w:p>
      <w:pPr>
        <w:pStyle w:val="ListBullet"/>
      </w:pPr>
      <w:r>
        <w:t>Mỗi sơ đồ có PNG để chèn Word và MMD để chỉnh sửa bằng Mermaid.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4300"/>
        <w:gridCol w:w="24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STT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Nhóm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Tên sơ đồ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File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Sơ đồ ngữ cảnh hệ thống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01_System_Context.png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container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02_Container_Architecture.png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phân lớp Backend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03_Backend_Layers.png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Mô hình miền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04_Domain_Model.png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Sơ đồ triển khai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05_Deployment.png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phân lớp Frontend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06_Frontend_Layers.png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Luồng dữ liệu tổng quát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07_Data_Flow.png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Luồng xác thực và phân quyền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08_Authentication_Flow.png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Luồng sự kiện thời gian thực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09_Realtime_Event_Flow.png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Phân rã chức năng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10_Functional_Decomposition.png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Use Case tổng quát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11_Use_Case_Tong_Quat.png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Activity - Đăng nhập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12_Activity_Login.png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Activity - Tạo dự án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13_Activity_Project_Creation.png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Activity - Vòng đời Task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14_Activity_Task_Lifecycle.png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Activity - Duyệt nghỉ phép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15_Activity_Leave_Approval.png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Sequence - Tạo Task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16_Sequence_Create_Task.png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Sequence - Thông báo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17_Sequence_Notification.png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ERD rút gọn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18_ERD_Core.png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Phụ thuộc module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19_Module_Dependencies.png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Sao lưu và khôi phục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20_Backup_Recovery.png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Kiến trúc phần mềm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Giám sát vận hành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21_Observability.png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Agile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Phân rã chức năng phục vụ Product Backlog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01_Phan_ra_chuc_nang.png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Agile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Use Case tổng quát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02_Use_Case_Tong_Quat.png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Agile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Activity vòng đời Task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03_Activity_Task_Lifecycle.png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Agile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Activity chu trình Sprint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04_Activity_Sprint.png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Agile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Scrum Workflow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color w:val="111827"/>
                <w:sz w:val="17"/>
              </w:rPr>
              <w:t>05_Scrum_Workflow.png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1. Sơ đồ ngữ cảnh hệ thống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1. Sơ đồ ngữ cảnh hệ thống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2. Kiến trúc container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iner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2. Kiến trúc container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3. Kiến trúc phân lớp Backend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ckend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3. Kiến trúc phân lớp Backend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4. Mô hình miền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main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4. Mô hình miền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5. Sơ đồ triển khai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lo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5. Sơ đồ triển khai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6. Kiến trúc phân lớp Frontend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rontend_Lay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6. Kiến trúc phân lớp Frontend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7. Luồng dữ liệu tổng quát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7. Luồng dữ liệu tổng quát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8. Luồng xác thực và phân quyền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hentication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8. Luồng xác thực và phân quyền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9. Luồng sự kiện thời gian thực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altime_Event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9. Luồng sự kiện thời gian thực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10. Phân rã chức năng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nctional_Decomposi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10. Phân rã chức năng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11. Use Case tổng quát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_Case_Tong_Qua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11. Use Case tổng quát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12. Activity - Đăng nhập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ctivity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12. Activity - Đăng nhập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13. Activity - Tạo dự án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ctivity_Project_Cre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13. Activity - Tạo dự án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14. Activity - Vòng đời Task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ctivity_Task_Lifecyc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14. Activity - Vòng đời Task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15. Activity - Duyệt nghỉ phép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ctivity_Leave_Approv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15. Activity - Duyệt nghỉ phép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16. Sequence - Tạo Task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equence_Create_Tas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16. Sequence - Tạo Task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17. Sequence - Thông báo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equence_Notific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17. Sequence - Thông báo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18. ERD rút gọn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RD_Co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18. ERD rút gọn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19. Phụ thuộc module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odule_Dependenci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19. Phụ thuộc module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20. Sao lưu và khôi phục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ackup_Recove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20. Sao lưu và khôi phục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21. Giám sát vận hành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Observabili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21. Giám sát vận hành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22. Phân rã chức năng phục vụ Product Backlog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nctional_Decomposi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22. Phân rã chức năng phục vụ Product Backlog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23. Use Case tổng quát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_Case_Tong_Qua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23. Use Case tổng quát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24. Activity vòng đời Task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ctivity_Task_Lifecyc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24. Activity vòng đời Task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25. Activity chu trình Sprint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_Spri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25. Activity chu trình Sprint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p>
      <w:r>
        <w:br w:type="page"/>
      </w:r>
    </w:p>
    <w:p>
      <w:pPr>
        <w:pStyle w:val="Heading1"/>
      </w:pPr>
      <w:r>
        <w:t>26. Scrum Workflow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um_Workf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Calibri"/>
          <w:i/>
          <w:color w:val="5B6573"/>
          <w:sz w:val="18"/>
        </w:rPr>
        <w:t>Hình 26. Scrum Workflow</w:t>
      </w:r>
    </w:p>
    <w:p>
      <w:r>
        <w:rPr>
          <w:rFonts w:ascii="Calibri" w:hAnsi="Calibri" w:eastAsia="Calibri"/>
          <w:i w:val="0"/>
        </w:rPr>
        <w:t>Cách sử dụng: đặt ngay sau đoạn mô tả phạm vi liên quan, tham chiếu bằng số hình và giải thích quyết định/ràng buộc mà sơ đồ làm rõ.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09" w:footer="709" w:gutter="0"/>
      <w:cols w:space="720"/>
      <w:titlePg/>
      <w:docGrid w:linePitch="360"/>
      <w:pgBorders w:offsetFrom="page">
        <w:top w:val="single" w:sz="10" w:space="16" w:color="1F4E79"/>
        <w:left w:val="single" w:sz="10" w:space="16" w:color="1F4E79"/>
        <w:bottom w:val="single" w:sz="10" w:space="16" w:color="1F4E79"/>
        <w:right w:val="single" w:sz="10" w:space="16" w:color="1F4E7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B6573"/>
        <w:sz w:val="18"/>
      </w:rPr>
      <w:t xml:space="preserve">TaskSyncEnterprise |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8"/>
      </w:rPr>
      <w:t>THUYẾT MINH SƠ ĐỒ | TASKSYNCENTERPRISE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12" w:lineRule="auto"/>
    </w:pPr>
    <w:rPr>
      <w:rFonts w:ascii="Times New Roman" w:hAnsi="Times New Roman"/>
      <w:color w:val="111827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12" w:lineRule="auto"/>
      <w:ind w:left="720" w:hanging="360"/>
      <w:contextualSpacing/>
    </w:pPr>
    <w:rPr>
      <w:rFonts w:ascii="Times New Roman" w:hAnsi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12" w:lineRule="auto"/>
      <w:ind w:left="720" w:hanging="360"/>
      <w:contextualSpacing/>
    </w:pPr>
    <w:rPr>
      <w:rFonts w:ascii="Times New Roman" w:hAnsi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Thuyet_minh_So_do_TaskSyncEnterprise</dc:title>
  <dc:subject>TaskSyncEnterprise report package</dc:subject>
  <dc:creator>Scrum Team TaskSyncEnterprise</dc:creator>
  <cp:keywords>TaskSyncEnterprise, Agile, Software Architecture, Scrum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