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D5A0" w14:textId="5CABEC58" w:rsidR="002C3E8F" w:rsidRDefault="0059714C" w:rsidP="0059714C">
      <w:pPr>
        <w:pStyle w:val="Title"/>
        <w:jc w:val="center"/>
      </w:pPr>
      <w:r>
        <w:t>FINRL research notes</w:t>
      </w:r>
    </w:p>
    <w:p w14:paraId="4A96D372" w14:textId="06820133" w:rsidR="0059714C" w:rsidRDefault="0059714C" w:rsidP="0059714C">
      <w:pPr>
        <w:pStyle w:val="Heading1"/>
      </w:pPr>
      <w:r>
        <w:t>Terminologies</w:t>
      </w:r>
    </w:p>
    <w:p w14:paraId="1044559F" w14:textId="6C37B111" w:rsidR="0059714C" w:rsidRDefault="0059714C" w:rsidP="0059714C">
      <w:pPr>
        <w:pStyle w:val="ListParagraph"/>
        <w:numPr>
          <w:ilvl w:val="0"/>
          <w:numId w:val="1"/>
        </w:numPr>
      </w:pPr>
      <w:r w:rsidRPr="00E07692">
        <w:rPr>
          <w:b/>
          <w:bCs/>
        </w:rPr>
        <w:t>Market friction</w:t>
      </w:r>
      <w:r>
        <w:t xml:space="preserve">: </w:t>
      </w:r>
      <w:r w:rsidRPr="0059714C">
        <w:t>Market friction is anything which prevents a trade from being executed smoothly, in layman terms. It could mean any reason which influences the process of decision-making of the investor.</w:t>
      </w:r>
    </w:p>
    <w:p w14:paraId="2F90CA78" w14:textId="4BB859F1" w:rsidR="0059714C" w:rsidRPr="00516F8E" w:rsidRDefault="00516F8E" w:rsidP="004E1111">
      <w:pPr>
        <w:pStyle w:val="ListParagraph"/>
        <w:numPr>
          <w:ilvl w:val="1"/>
          <w:numId w:val="1"/>
        </w:numPr>
      </w:pPr>
      <w:r>
        <w:rPr>
          <w:rFonts w:ascii="Arial" w:hAnsi="Arial" w:cs="Arial"/>
          <w:color w:val="111111"/>
          <w:sz w:val="26"/>
          <w:szCs w:val="26"/>
          <w:shd w:val="clear" w:color="auto" w:fill="FFFFFF"/>
        </w:rPr>
        <w:t>The prices of stocks are fluid and constantly changing; the price quoted for a stock at any point throughout the day is simply the price that paid the last time that stock was traded</w:t>
      </w:r>
    </w:p>
    <w:p w14:paraId="22CA149A" w14:textId="77777777" w:rsidR="00516F8E" w:rsidRPr="00516F8E" w:rsidRDefault="00516F8E" w:rsidP="004E1111">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News about a company can be released while the market is closed, shifting what investors are willing to pay to own a share of the company and changing the price of the company's stock without any trades occurring.</w:t>
      </w:r>
    </w:p>
    <w:p w14:paraId="7A5F4A10" w14:textId="0E9F8EBC" w:rsidR="00516F8E" w:rsidRPr="00516F8E" w:rsidRDefault="00516F8E" w:rsidP="004E1111">
      <w:pPr>
        <w:pStyle w:val="ListParagraph"/>
        <w:numPr>
          <w:ilvl w:val="1"/>
          <w:numId w:val="1"/>
        </w:numPr>
      </w:pPr>
      <w:r>
        <w:rPr>
          <w:rFonts w:ascii="Arial" w:hAnsi="Arial" w:cs="Arial"/>
          <w:color w:val="111111"/>
          <w:sz w:val="26"/>
          <w:szCs w:val="26"/>
          <w:shd w:val="clear" w:color="auto" w:fill="FFFFFF"/>
        </w:rPr>
        <w:t xml:space="preserve">The listed </w:t>
      </w:r>
      <w:r w:rsidRPr="00516F8E">
        <w:rPr>
          <w:rFonts w:ascii="Arial" w:hAnsi="Arial" w:cs="Arial"/>
          <w:b/>
          <w:bCs/>
          <w:color w:val="111111"/>
          <w:sz w:val="26"/>
          <w:szCs w:val="26"/>
          <w:shd w:val="clear" w:color="auto" w:fill="FFFFFF"/>
        </w:rPr>
        <w:t>closing price</w:t>
      </w:r>
      <w:r>
        <w:rPr>
          <w:rFonts w:ascii="Arial" w:hAnsi="Arial" w:cs="Arial"/>
          <w:color w:val="111111"/>
          <w:sz w:val="26"/>
          <w:szCs w:val="26"/>
          <w:shd w:val="clear" w:color="auto" w:fill="FFFFFF"/>
        </w:rPr>
        <w:t xml:space="preserve"> is the last price anyone paid for a share of that stock during the business hours of the exchange where the stock trades. The </w:t>
      </w:r>
      <w:r w:rsidRPr="00516F8E">
        <w:rPr>
          <w:rFonts w:ascii="Arial" w:hAnsi="Arial" w:cs="Arial"/>
          <w:b/>
          <w:bCs/>
          <w:color w:val="111111"/>
          <w:sz w:val="26"/>
          <w:szCs w:val="26"/>
          <w:shd w:val="clear" w:color="auto" w:fill="FFFFFF"/>
        </w:rPr>
        <w:t>opening price</w:t>
      </w:r>
      <w:r>
        <w:rPr>
          <w:rFonts w:ascii="Arial" w:hAnsi="Arial" w:cs="Arial"/>
          <w:color w:val="111111"/>
          <w:sz w:val="26"/>
          <w:szCs w:val="26"/>
          <w:shd w:val="clear" w:color="auto" w:fill="FFFFFF"/>
        </w:rPr>
        <w:t xml:space="preserve"> is the price from the first transaction of a business day. Sometimes these prices are different. During a regular trading day, the balance between supply and demand fluctuates as the attractiveness of the stock's price increases and decreases. These fluctuations are why closing and </w:t>
      </w:r>
      <w:hyperlink r:id="rId5" w:history="1">
        <w:r>
          <w:rPr>
            <w:rStyle w:val="Hyperlink"/>
            <w:rFonts w:ascii="Arial" w:hAnsi="Arial" w:cs="Arial"/>
            <w:color w:val="2C40D0"/>
            <w:sz w:val="26"/>
            <w:shd w:val="clear" w:color="auto" w:fill="FFFFFF"/>
          </w:rPr>
          <w:t>opening prices</w:t>
        </w:r>
      </w:hyperlink>
      <w:r>
        <w:rPr>
          <w:rFonts w:ascii="Arial" w:hAnsi="Arial" w:cs="Arial"/>
          <w:color w:val="111111"/>
          <w:sz w:val="26"/>
          <w:szCs w:val="26"/>
          <w:shd w:val="clear" w:color="auto" w:fill="FFFFFF"/>
        </w:rPr>
        <w:t> are not always identical. In the hours between the </w:t>
      </w:r>
      <w:hyperlink r:id="rId6" w:history="1">
        <w:r>
          <w:rPr>
            <w:rStyle w:val="Hyperlink"/>
            <w:rFonts w:ascii="Arial" w:hAnsi="Arial" w:cs="Arial"/>
            <w:color w:val="2C40D0"/>
            <w:sz w:val="26"/>
            <w:shd w:val="clear" w:color="auto" w:fill="FFFFFF"/>
          </w:rPr>
          <w:t>closing bell</w:t>
        </w:r>
      </w:hyperlink>
      <w:r>
        <w:rPr>
          <w:rFonts w:ascii="Arial" w:hAnsi="Arial" w:cs="Arial"/>
          <w:color w:val="111111"/>
          <w:sz w:val="26"/>
          <w:szCs w:val="26"/>
          <w:shd w:val="clear" w:color="auto" w:fill="FFFFFF"/>
        </w:rPr>
        <w:t> and the following trading day's </w:t>
      </w:r>
      <w:hyperlink r:id="rId7" w:history="1">
        <w:r>
          <w:rPr>
            <w:rStyle w:val="Hyperlink"/>
            <w:rFonts w:ascii="Arial" w:hAnsi="Arial" w:cs="Arial"/>
            <w:color w:val="2C40D0"/>
            <w:sz w:val="26"/>
            <w:shd w:val="clear" w:color="auto" w:fill="FFFFFF"/>
          </w:rPr>
          <w:t>opening bell</w:t>
        </w:r>
      </w:hyperlink>
      <w:r>
        <w:rPr>
          <w:rFonts w:ascii="Arial" w:hAnsi="Arial" w:cs="Arial"/>
          <w:color w:val="111111"/>
          <w:sz w:val="26"/>
          <w:szCs w:val="26"/>
          <w:shd w:val="clear" w:color="auto" w:fill="FFFFFF"/>
        </w:rPr>
        <w:t>, a number of factors can affect the attractiveness of a particular stock.</w:t>
      </w:r>
    </w:p>
    <w:p w14:paraId="1A3387C2" w14:textId="1A00A5A2" w:rsidR="00516F8E" w:rsidRPr="00516F8E" w:rsidRDefault="00516F8E" w:rsidP="0059714C">
      <w:pPr>
        <w:pStyle w:val="ListParagraph"/>
        <w:numPr>
          <w:ilvl w:val="0"/>
          <w:numId w:val="1"/>
        </w:numPr>
      </w:pPr>
      <w:r w:rsidRPr="00516F8E">
        <w:rPr>
          <w:rFonts w:ascii="Arial" w:hAnsi="Arial" w:cs="Arial"/>
          <w:b/>
          <w:bCs/>
          <w:color w:val="111111"/>
          <w:sz w:val="26"/>
          <w:szCs w:val="26"/>
          <w:shd w:val="clear" w:color="auto" w:fill="FFFFFF"/>
        </w:rPr>
        <w:t>Equilibrium</w:t>
      </w:r>
      <w:r>
        <w:rPr>
          <w:rFonts w:ascii="Arial" w:hAnsi="Arial" w:cs="Arial"/>
          <w:color w:val="111111"/>
          <w:sz w:val="26"/>
          <w:szCs w:val="26"/>
          <w:shd w:val="clear" w:color="auto" w:fill="FFFFFF"/>
        </w:rPr>
        <w:t xml:space="preserve"> is the state in which market supply and demand balance each other, and as a result prices become stable. Generally, an over-supply of goods or services causes prices to go down, which results in higher demand—while an under-supply or shortage causes prices to go up resulting in less demand. The balancing effect of supply and demand results in a state of equilibrium.</w:t>
      </w:r>
    </w:p>
    <w:p w14:paraId="0A27C754" w14:textId="77777777" w:rsidR="00516F8E" w:rsidRPr="00516F8E" w:rsidRDefault="00516F8E" w:rsidP="00516F8E">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b/>
          <w:bCs/>
          <w:color w:val="111111"/>
          <w:sz w:val="26"/>
          <w:szCs w:val="26"/>
        </w:rPr>
        <w:t>Volatility</w:t>
      </w:r>
      <w:r w:rsidRPr="00516F8E">
        <w:rPr>
          <w:rFonts w:ascii="Arial" w:eastAsia="Times New Roman" w:hAnsi="Arial" w:cs="Arial"/>
          <w:color w:val="111111"/>
          <w:sz w:val="26"/>
          <w:szCs w:val="26"/>
        </w:rPr>
        <w:t xml:space="preserve"> represents how large an asset's prices swing around the mean price - it is a statistical measure of its dispersion of returns.</w:t>
      </w:r>
    </w:p>
    <w:p w14:paraId="78CE4CD6" w14:textId="5B64DFA4" w:rsidR="00516F8E" w:rsidRDefault="00516F8E" w:rsidP="00516F8E">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There are several ways to measure volatility, including beta coefficients, option pricing models, and standard deviations of returns.</w:t>
      </w:r>
    </w:p>
    <w:p w14:paraId="0E55161B" w14:textId="77777777" w:rsidR="00516F8E" w:rsidRPr="00516F8E" w:rsidRDefault="00516F8E" w:rsidP="00516F8E">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Volatile assets are often considered riskier than less volatile assets because the price is expected to be less predictable.</w:t>
      </w:r>
    </w:p>
    <w:p w14:paraId="1FC31101" w14:textId="77777777" w:rsidR="00516F8E" w:rsidRPr="00516F8E" w:rsidRDefault="00516F8E" w:rsidP="00516F8E">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Volatility is an important variable for calculating options prices.</w:t>
      </w:r>
    </w:p>
    <w:p w14:paraId="47E49056" w14:textId="30DB7EB1" w:rsidR="00516F8E" w:rsidRPr="00516F8E" w:rsidRDefault="00516F8E" w:rsidP="00516F8E">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hAnsi="Arial" w:cs="Arial"/>
          <w:b/>
          <w:bCs/>
          <w:color w:val="111111"/>
          <w:sz w:val="26"/>
          <w:szCs w:val="26"/>
          <w:shd w:val="clear" w:color="auto" w:fill="FFFFFF"/>
        </w:rPr>
        <w:lastRenderedPageBreak/>
        <w:t>Liquidity</w:t>
      </w:r>
      <w:r>
        <w:rPr>
          <w:rFonts w:ascii="Arial" w:hAnsi="Arial" w:cs="Arial"/>
          <w:color w:val="111111"/>
          <w:sz w:val="26"/>
          <w:szCs w:val="26"/>
          <w:shd w:val="clear" w:color="auto" w:fill="FFFFFF"/>
        </w:rPr>
        <w:t xml:space="preserve"> refers to the efficiency or ease with which an </w:t>
      </w:r>
      <w:hyperlink r:id="rId8" w:history="1">
        <w:r>
          <w:rPr>
            <w:rStyle w:val="Hyperlink"/>
            <w:rFonts w:ascii="Arial" w:hAnsi="Arial" w:cs="Arial"/>
            <w:color w:val="2C40D0"/>
            <w:sz w:val="26"/>
            <w:shd w:val="clear" w:color="auto" w:fill="FFFFFF"/>
          </w:rPr>
          <w:t>asset</w:t>
        </w:r>
      </w:hyperlink>
      <w:r>
        <w:rPr>
          <w:rFonts w:ascii="Arial" w:hAnsi="Arial" w:cs="Arial"/>
          <w:color w:val="111111"/>
          <w:sz w:val="26"/>
          <w:szCs w:val="26"/>
          <w:shd w:val="clear" w:color="auto" w:fill="FFFFFF"/>
        </w:rPr>
        <w:t> or </w:t>
      </w:r>
      <w:hyperlink r:id="rId9" w:history="1">
        <w:r>
          <w:rPr>
            <w:rStyle w:val="Hyperlink"/>
            <w:rFonts w:ascii="Arial" w:hAnsi="Arial" w:cs="Arial"/>
            <w:color w:val="2C40D0"/>
            <w:sz w:val="26"/>
            <w:shd w:val="clear" w:color="auto" w:fill="FFFFFF"/>
          </w:rPr>
          <w:t>security</w:t>
        </w:r>
      </w:hyperlink>
      <w:r>
        <w:rPr>
          <w:rFonts w:ascii="Arial" w:hAnsi="Arial" w:cs="Arial"/>
          <w:color w:val="111111"/>
          <w:sz w:val="26"/>
          <w:szCs w:val="26"/>
          <w:shd w:val="clear" w:color="auto" w:fill="FFFFFF"/>
        </w:rPr>
        <w:t> can be converted into ready cash without affecting its </w:t>
      </w:r>
      <w:hyperlink r:id="rId10" w:history="1">
        <w:r>
          <w:rPr>
            <w:rStyle w:val="Hyperlink"/>
            <w:rFonts w:ascii="Arial" w:hAnsi="Arial" w:cs="Arial"/>
            <w:color w:val="2C40D0"/>
            <w:sz w:val="26"/>
            <w:shd w:val="clear" w:color="auto" w:fill="FFFFFF"/>
          </w:rPr>
          <w:t>market price</w:t>
        </w:r>
      </w:hyperlink>
      <w:r>
        <w:rPr>
          <w:rFonts w:ascii="Arial" w:hAnsi="Arial" w:cs="Arial"/>
          <w:color w:val="111111"/>
          <w:sz w:val="26"/>
          <w:szCs w:val="26"/>
          <w:shd w:val="clear" w:color="auto" w:fill="FFFFFF"/>
        </w:rPr>
        <w:t>. The most liquid asset of all is cash itself</w:t>
      </w:r>
    </w:p>
    <w:p w14:paraId="25DEEFD3" w14:textId="09C78C5F" w:rsidR="00516F8E" w:rsidRPr="00516F8E" w:rsidRDefault="00516F8E" w:rsidP="00516F8E">
      <w:pPr>
        <w:pStyle w:val="ListParagraph"/>
        <w:numPr>
          <w:ilvl w:val="1"/>
          <w:numId w:val="1"/>
        </w:numPr>
      </w:pPr>
      <w:r>
        <w:rPr>
          <w:rFonts w:ascii="Arial" w:hAnsi="Arial" w:cs="Arial"/>
          <w:color w:val="111111"/>
          <w:sz w:val="26"/>
          <w:szCs w:val="26"/>
          <w:shd w:val="clear" w:color="auto" w:fill="FFFFFF"/>
        </w:rPr>
        <w:t>Liquidity refers to the ease with which an asset, or security, can be converted into ready cash without affecting its market price</w:t>
      </w:r>
    </w:p>
    <w:p w14:paraId="03C7885A" w14:textId="77777777" w:rsidR="00516F8E" w:rsidRPr="00516F8E" w:rsidRDefault="00516F8E" w:rsidP="00516F8E">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516F8E">
        <w:rPr>
          <w:rFonts w:ascii="Arial" w:eastAsia="Times New Roman" w:hAnsi="Arial" w:cs="Arial"/>
          <w:color w:val="111111"/>
          <w:sz w:val="26"/>
          <w:szCs w:val="26"/>
        </w:rPr>
        <w:t>Cash is the most liquid of assets while tangible items are less liquid. The two main types of liquidity include market liquidity and accounting liquidity.</w:t>
      </w:r>
    </w:p>
    <w:p w14:paraId="4760D368" w14:textId="60C505AA" w:rsidR="00516F8E" w:rsidRPr="00516F8E" w:rsidRDefault="00516F8E" w:rsidP="00516F8E">
      <w:pPr>
        <w:pStyle w:val="ListParagraph"/>
        <w:numPr>
          <w:ilvl w:val="1"/>
          <w:numId w:val="1"/>
        </w:numPr>
      </w:pPr>
      <w:r>
        <w:rPr>
          <w:rFonts w:ascii="Arial" w:hAnsi="Arial" w:cs="Arial"/>
          <w:color w:val="111111"/>
          <w:sz w:val="26"/>
          <w:szCs w:val="26"/>
          <w:shd w:val="clear" w:color="auto" w:fill="FFFFFF"/>
        </w:rPr>
        <w:t>Current, quick, and cash ratios are most commonly used to measure liquidity</w:t>
      </w:r>
    </w:p>
    <w:p w14:paraId="017724FA" w14:textId="02BD0BE3" w:rsidR="00516F8E" w:rsidRPr="000F2505" w:rsidRDefault="000F2505" w:rsidP="00516F8E">
      <w:pPr>
        <w:pStyle w:val="ListParagraph"/>
        <w:numPr>
          <w:ilvl w:val="0"/>
          <w:numId w:val="1"/>
        </w:numPr>
      </w:pPr>
      <w:r w:rsidRPr="004E1111">
        <w:rPr>
          <w:rFonts w:ascii="Arial" w:hAnsi="Arial" w:cs="Arial"/>
          <w:b/>
          <w:bCs/>
          <w:color w:val="111111"/>
          <w:sz w:val="26"/>
          <w:szCs w:val="26"/>
          <w:shd w:val="clear" w:color="auto" w:fill="FFFFFF"/>
        </w:rPr>
        <w:t>Options</w:t>
      </w:r>
      <w:r>
        <w:rPr>
          <w:rFonts w:ascii="Arial" w:hAnsi="Arial" w:cs="Arial"/>
          <w:color w:val="111111"/>
          <w:sz w:val="26"/>
          <w:szCs w:val="26"/>
          <w:shd w:val="clear" w:color="auto" w:fill="FFFFFF"/>
        </w:rPr>
        <w:t xml:space="preserve"> are </w:t>
      </w:r>
      <w:hyperlink r:id="rId11" w:history="1">
        <w:r>
          <w:rPr>
            <w:rStyle w:val="Hyperlink"/>
            <w:rFonts w:ascii="Arial" w:hAnsi="Arial" w:cs="Arial"/>
            <w:color w:val="2C40D0"/>
            <w:sz w:val="26"/>
            <w:shd w:val="clear" w:color="auto" w:fill="FFFFFF"/>
          </w:rPr>
          <w:t>financial instruments</w:t>
        </w:r>
      </w:hyperlink>
      <w:r>
        <w:rPr>
          <w:rFonts w:ascii="Arial" w:hAnsi="Arial" w:cs="Arial"/>
          <w:color w:val="111111"/>
          <w:sz w:val="26"/>
          <w:szCs w:val="26"/>
          <w:shd w:val="clear" w:color="auto" w:fill="FFFFFF"/>
        </w:rPr>
        <w:t> that are </w:t>
      </w:r>
      <w:hyperlink r:id="rId12" w:history="1">
        <w:r>
          <w:rPr>
            <w:rStyle w:val="Hyperlink"/>
            <w:rFonts w:ascii="Arial" w:hAnsi="Arial" w:cs="Arial"/>
            <w:color w:val="2C40D0"/>
            <w:sz w:val="26"/>
            <w:shd w:val="clear" w:color="auto" w:fill="FFFFFF"/>
          </w:rPr>
          <w:t>derivatives</w:t>
        </w:r>
      </w:hyperlink>
      <w:r>
        <w:rPr>
          <w:rFonts w:ascii="Arial" w:hAnsi="Arial" w:cs="Arial"/>
          <w:color w:val="111111"/>
          <w:sz w:val="26"/>
          <w:szCs w:val="26"/>
          <w:shd w:val="clear" w:color="auto" w:fill="FFFFFF"/>
        </w:rPr>
        <w:t> based on the value of underlying securities such as stocks. An options contract offers the buyer the opportunity to buy or sell—depending on the type of contract they hold—the underlying asset. </w:t>
      </w:r>
      <w:hyperlink r:id="rId13" w:history="1">
        <w:r>
          <w:rPr>
            <w:rStyle w:val="Hyperlink"/>
            <w:rFonts w:ascii="Arial" w:hAnsi="Arial" w:cs="Arial"/>
            <w:color w:val="2C40D0"/>
            <w:sz w:val="26"/>
            <w:shd w:val="clear" w:color="auto" w:fill="FFFFFF"/>
          </w:rPr>
          <w:t>Unlike futures</w:t>
        </w:r>
      </w:hyperlink>
      <w:r>
        <w:rPr>
          <w:rFonts w:ascii="Arial" w:hAnsi="Arial" w:cs="Arial"/>
          <w:color w:val="111111"/>
          <w:sz w:val="26"/>
          <w:szCs w:val="26"/>
          <w:shd w:val="clear" w:color="auto" w:fill="FFFFFF"/>
        </w:rPr>
        <w:t>, the holder is not required to buy or sell the asset if they choose not to.</w:t>
      </w:r>
    </w:p>
    <w:p w14:paraId="3E02EAF7" w14:textId="77777777" w:rsidR="000F2505" w:rsidRPr="000F2505" w:rsidRDefault="000F2505" w:rsidP="000F2505">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hyperlink r:id="rId14" w:history="1">
        <w:r w:rsidRPr="000F2505">
          <w:rPr>
            <w:rFonts w:ascii="Arial" w:eastAsia="Times New Roman" w:hAnsi="Arial" w:cs="Arial"/>
            <w:color w:val="2333A6"/>
            <w:sz w:val="26"/>
            <w:szCs w:val="26"/>
            <w:u w:val="single"/>
          </w:rPr>
          <w:t>Call options</w:t>
        </w:r>
      </w:hyperlink>
      <w:r w:rsidRPr="000F2505">
        <w:rPr>
          <w:rFonts w:ascii="Arial" w:eastAsia="Times New Roman" w:hAnsi="Arial" w:cs="Arial"/>
          <w:color w:val="111111"/>
          <w:sz w:val="26"/>
          <w:szCs w:val="26"/>
        </w:rPr>
        <w:t> allow the holder to buy the asset at a stated price within a specific timeframe.</w:t>
      </w:r>
    </w:p>
    <w:p w14:paraId="10FCE857" w14:textId="77777777" w:rsidR="000F2505" w:rsidRPr="000F2505" w:rsidRDefault="000F2505" w:rsidP="000F2505">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hyperlink r:id="rId15" w:history="1">
        <w:r w:rsidRPr="000F2505">
          <w:rPr>
            <w:rFonts w:ascii="Arial" w:eastAsia="Times New Roman" w:hAnsi="Arial" w:cs="Arial"/>
            <w:color w:val="2C40D0"/>
            <w:sz w:val="26"/>
            <w:szCs w:val="26"/>
            <w:u w:val="single"/>
          </w:rPr>
          <w:t>Put options</w:t>
        </w:r>
      </w:hyperlink>
      <w:r w:rsidRPr="000F2505">
        <w:rPr>
          <w:rFonts w:ascii="Arial" w:eastAsia="Times New Roman" w:hAnsi="Arial" w:cs="Arial"/>
          <w:color w:val="111111"/>
          <w:sz w:val="26"/>
          <w:szCs w:val="26"/>
        </w:rPr>
        <w:t> allow the holder to sell the asset at a stated price within a specific timeframe.</w:t>
      </w:r>
    </w:p>
    <w:p w14:paraId="297DB42C" w14:textId="2A0C41C0" w:rsidR="000F2505" w:rsidRPr="00E07692" w:rsidRDefault="000F2505" w:rsidP="000F2505">
      <w:pPr>
        <w:pStyle w:val="ListParagraph"/>
        <w:numPr>
          <w:ilvl w:val="1"/>
          <w:numId w:val="1"/>
        </w:numPr>
      </w:pPr>
      <w:r>
        <w:rPr>
          <w:rFonts w:ascii="Arial" w:hAnsi="Arial" w:cs="Arial"/>
          <w:color w:val="111111"/>
          <w:sz w:val="26"/>
          <w:szCs w:val="26"/>
          <w:shd w:val="clear" w:color="auto" w:fill="FFFFFF"/>
        </w:rPr>
        <w:t>Each option contract will have a specific expiration date by which the holder must exercise their option. The stated price on an option is known as the strike price. Options are typically bought and sold through </w:t>
      </w:r>
      <w:hyperlink r:id="rId16" w:history="1">
        <w:r>
          <w:rPr>
            <w:rStyle w:val="Hyperlink"/>
            <w:rFonts w:ascii="Arial" w:hAnsi="Arial" w:cs="Arial"/>
            <w:color w:val="2C40D0"/>
            <w:sz w:val="26"/>
            <w:shd w:val="clear" w:color="auto" w:fill="FFFFFF"/>
          </w:rPr>
          <w:t>online or retail brokers</w:t>
        </w:r>
      </w:hyperlink>
      <w:r>
        <w:rPr>
          <w:rFonts w:ascii="Arial" w:hAnsi="Arial" w:cs="Arial"/>
          <w:color w:val="111111"/>
          <w:sz w:val="26"/>
          <w:szCs w:val="26"/>
          <w:shd w:val="clear" w:color="auto" w:fill="FFFFFF"/>
        </w:rPr>
        <w:t>.</w:t>
      </w:r>
    </w:p>
    <w:p w14:paraId="0E1DB191" w14:textId="77777777" w:rsidR="00E07692" w:rsidRPr="00E07692" w:rsidRDefault="00E07692" w:rsidP="00E07692">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E07692">
        <w:rPr>
          <w:rFonts w:ascii="Arial" w:eastAsia="Times New Roman" w:hAnsi="Arial" w:cs="Arial"/>
          <w:b/>
          <w:bCs/>
          <w:color w:val="111111"/>
          <w:sz w:val="26"/>
          <w:szCs w:val="26"/>
        </w:rPr>
        <w:t>Cherry picking</w:t>
      </w:r>
      <w:r w:rsidRPr="00E07692">
        <w:rPr>
          <w:rFonts w:ascii="Arial" w:eastAsia="Times New Roman" w:hAnsi="Arial" w:cs="Arial"/>
          <w:color w:val="111111"/>
          <w:sz w:val="26"/>
          <w:szCs w:val="26"/>
        </w:rPr>
        <w:t xml:space="preserve"> involves choosing investments by following other investors and institutions that are considered reliable and successful. </w:t>
      </w:r>
    </w:p>
    <w:p w14:paraId="53C91CBD" w14:textId="77777777" w:rsidR="00E07692" w:rsidRPr="00E07692" w:rsidRDefault="00E07692" w:rsidP="00E076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E07692">
        <w:rPr>
          <w:rFonts w:ascii="Arial" w:eastAsia="Times New Roman" w:hAnsi="Arial" w:cs="Arial"/>
          <w:color w:val="111111"/>
          <w:sz w:val="26"/>
          <w:szCs w:val="26"/>
        </w:rPr>
        <w:t>Cherry picking doesn't involve research but instead, involves using the research of other reliable sources.</w:t>
      </w:r>
    </w:p>
    <w:p w14:paraId="4B6931CB" w14:textId="7A19BDF7" w:rsidR="00E07692" w:rsidRDefault="00E07692" w:rsidP="00E07692">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E07692">
        <w:rPr>
          <w:rFonts w:ascii="Arial" w:eastAsia="Times New Roman" w:hAnsi="Arial" w:cs="Arial"/>
          <w:color w:val="111111"/>
          <w:sz w:val="26"/>
          <w:szCs w:val="26"/>
        </w:rPr>
        <w:t>Cherry-picking is also defined as the fraudulent practice of investment managers allocating winning trades to their personal accounts or to favored clients.</w:t>
      </w:r>
    </w:p>
    <w:p w14:paraId="489996C1" w14:textId="7EFCEEE6" w:rsidR="00E07692" w:rsidRPr="003D4CDC" w:rsidRDefault="003D4CDC" w:rsidP="00E07692">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 xml:space="preserve">A </w:t>
      </w:r>
      <w:r w:rsidRPr="003D4CDC">
        <w:rPr>
          <w:rFonts w:ascii="Arial" w:hAnsi="Arial" w:cs="Arial"/>
          <w:b/>
          <w:bCs/>
          <w:color w:val="111111"/>
          <w:sz w:val="26"/>
          <w:szCs w:val="26"/>
          <w:shd w:val="clear" w:color="auto" w:fill="FFFFFF"/>
        </w:rPr>
        <w:t>trading platform</w:t>
      </w:r>
      <w:r>
        <w:rPr>
          <w:rFonts w:ascii="Arial" w:hAnsi="Arial" w:cs="Arial"/>
          <w:color w:val="111111"/>
          <w:sz w:val="26"/>
          <w:szCs w:val="26"/>
          <w:shd w:val="clear" w:color="auto" w:fill="FFFFFF"/>
        </w:rPr>
        <w:t xml:space="preserve"> is software used for trading: opening, closing, and managing market positions through a financial intermediary such as an online broker. Online trading platforms are frequently offered by brokers either for free or at a discount rate in exchange for maintaining a funded account and/or making a specified number of trades per month.</w:t>
      </w:r>
    </w:p>
    <w:p w14:paraId="4865D75B" w14:textId="350D1404" w:rsidR="003D4CDC" w:rsidRPr="003D4CDC" w:rsidRDefault="003D4CDC" w:rsidP="003D4CDC">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Fonts w:ascii="Arial" w:hAnsi="Arial" w:cs="Arial"/>
          <w:color w:val="111111"/>
          <w:sz w:val="26"/>
          <w:szCs w:val="26"/>
          <w:shd w:val="clear" w:color="auto" w:fill="FFFFFF"/>
        </w:rPr>
        <w:t xml:space="preserve">A trading platform is the software that enables investors and traders to place trades and monitor accounts through financial intermediaries. Oftentimes, trading platforms will come bundled with other features, such as real-time quotes, charting tools, news feeds, and even premium research. Platforms may also be specifically </w:t>
      </w:r>
      <w:r>
        <w:rPr>
          <w:rFonts w:ascii="Arial" w:hAnsi="Arial" w:cs="Arial"/>
          <w:color w:val="111111"/>
          <w:sz w:val="26"/>
          <w:szCs w:val="26"/>
          <w:shd w:val="clear" w:color="auto" w:fill="FFFFFF"/>
        </w:rPr>
        <w:lastRenderedPageBreak/>
        <w:t>tailored to specific markets, such as stocks, </w:t>
      </w:r>
      <w:hyperlink r:id="rId17" w:history="1">
        <w:r>
          <w:rPr>
            <w:rStyle w:val="Hyperlink"/>
            <w:rFonts w:ascii="Arial" w:hAnsi="Arial" w:cs="Arial"/>
            <w:color w:val="2C40D0"/>
            <w:sz w:val="26"/>
            <w:shd w:val="clear" w:color="auto" w:fill="FFFFFF"/>
          </w:rPr>
          <w:t>currencies</w:t>
        </w:r>
      </w:hyperlink>
      <w:r>
        <w:rPr>
          <w:rFonts w:ascii="Arial" w:hAnsi="Arial" w:cs="Arial"/>
          <w:color w:val="111111"/>
          <w:sz w:val="26"/>
          <w:szCs w:val="26"/>
          <w:shd w:val="clear" w:color="auto" w:fill="FFFFFF"/>
        </w:rPr>
        <w:t>, options, or </w:t>
      </w:r>
      <w:hyperlink r:id="rId18" w:history="1">
        <w:r>
          <w:rPr>
            <w:rStyle w:val="Hyperlink"/>
            <w:rFonts w:ascii="Arial" w:hAnsi="Arial" w:cs="Arial"/>
            <w:color w:val="2C40D0"/>
            <w:sz w:val="26"/>
            <w:shd w:val="clear" w:color="auto" w:fill="FFFFFF"/>
          </w:rPr>
          <w:t>futures</w:t>
        </w:r>
      </w:hyperlink>
      <w:r>
        <w:rPr>
          <w:rFonts w:ascii="Arial" w:hAnsi="Arial" w:cs="Arial"/>
          <w:color w:val="111111"/>
          <w:sz w:val="26"/>
          <w:szCs w:val="26"/>
          <w:shd w:val="clear" w:color="auto" w:fill="FFFFFF"/>
        </w:rPr>
        <w:t> markets.</w:t>
      </w:r>
    </w:p>
    <w:p w14:paraId="529308B8" w14:textId="77777777" w:rsidR="0012756C" w:rsidRPr="0012756C" w:rsidRDefault="0012756C" w:rsidP="0012756C">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2756C">
        <w:rPr>
          <w:rFonts w:ascii="Arial" w:eastAsia="Times New Roman" w:hAnsi="Arial" w:cs="Arial"/>
          <w:b/>
          <w:bCs/>
          <w:color w:val="111111"/>
          <w:sz w:val="26"/>
          <w:szCs w:val="26"/>
        </w:rPr>
        <w:t>Equity</w:t>
      </w:r>
      <w:r w:rsidRPr="0012756C">
        <w:rPr>
          <w:rFonts w:ascii="Arial" w:eastAsia="Times New Roman" w:hAnsi="Arial" w:cs="Arial"/>
          <w:color w:val="111111"/>
          <w:sz w:val="26"/>
          <w:szCs w:val="26"/>
        </w:rPr>
        <w:t xml:space="preserve"> represents the value that would be returned to a company’s shareholders if all of the assets were liquidated and all of the company's debts were paid off.</w:t>
      </w:r>
    </w:p>
    <w:p w14:paraId="30918178" w14:textId="77777777" w:rsidR="0012756C" w:rsidRPr="0012756C" w:rsidRDefault="0012756C" w:rsidP="0012756C">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2756C">
        <w:rPr>
          <w:rFonts w:ascii="Arial" w:eastAsia="Times New Roman" w:hAnsi="Arial" w:cs="Arial"/>
          <w:color w:val="111111"/>
          <w:sz w:val="26"/>
          <w:szCs w:val="26"/>
        </w:rPr>
        <w:t>We can also think of equity as a degree of residual ownership in a firm or asset after subtracting all debts associated with that asset.</w:t>
      </w:r>
    </w:p>
    <w:p w14:paraId="1735CF31" w14:textId="599D3E83" w:rsidR="0012756C" w:rsidRDefault="0012756C" w:rsidP="0012756C">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sidRPr="0012756C">
        <w:rPr>
          <w:rFonts w:ascii="Arial" w:eastAsia="Times New Roman" w:hAnsi="Arial" w:cs="Arial"/>
          <w:color w:val="111111"/>
          <w:sz w:val="26"/>
          <w:szCs w:val="26"/>
        </w:rPr>
        <w:t>The calculation of equity is a company's total assets minus its total liabilities, and is used in several key financial ratios such as ROE.</w:t>
      </w:r>
    </w:p>
    <w:p w14:paraId="00740E52" w14:textId="0F9C35FD" w:rsidR="0012756C" w:rsidRPr="0012756C" w:rsidRDefault="0012756C" w:rsidP="0012756C">
      <w:pPr>
        <w:numPr>
          <w:ilvl w:val="1"/>
          <w:numId w:val="1"/>
        </w:numPr>
        <w:shd w:val="clear" w:color="auto" w:fill="FFFFFF"/>
        <w:spacing w:before="100" w:beforeAutospacing="1" w:after="0" w:line="240" w:lineRule="auto"/>
        <w:rPr>
          <w:rFonts w:ascii="Arial" w:eastAsia="Times New Roman" w:hAnsi="Arial" w:cs="Arial"/>
          <w:color w:val="111111"/>
          <w:sz w:val="26"/>
          <w:szCs w:val="26"/>
        </w:rPr>
      </w:pPr>
      <w:r>
        <w:rPr>
          <w:rStyle w:val="mord"/>
          <w:color w:val="111111"/>
          <w:szCs w:val="32"/>
          <w:shd w:val="clear" w:color="auto" w:fill="FFFFFF"/>
        </w:rPr>
        <w:t>Shareholders’ Equity</w:t>
      </w:r>
      <w:r>
        <w:rPr>
          <w:rStyle w:val="mrel"/>
          <w:color w:val="111111"/>
          <w:sz w:val="32"/>
          <w:szCs w:val="32"/>
          <w:shd w:val="clear" w:color="auto" w:fill="FFFFFF"/>
        </w:rPr>
        <w:t>=</w:t>
      </w:r>
      <w:r>
        <w:rPr>
          <w:rStyle w:val="mord"/>
          <w:color w:val="111111"/>
          <w:szCs w:val="32"/>
          <w:shd w:val="clear" w:color="auto" w:fill="FFFFFF"/>
        </w:rPr>
        <w:t>Total Assets</w:t>
      </w:r>
      <w:r>
        <w:rPr>
          <w:rStyle w:val="mbin"/>
          <w:color w:val="111111"/>
          <w:sz w:val="32"/>
          <w:szCs w:val="32"/>
          <w:shd w:val="clear" w:color="auto" w:fill="FFFFFF"/>
        </w:rPr>
        <w:t>−</w:t>
      </w:r>
      <w:r>
        <w:rPr>
          <w:rStyle w:val="mord"/>
          <w:color w:val="111111"/>
          <w:szCs w:val="32"/>
          <w:shd w:val="clear" w:color="auto" w:fill="FFFFFF"/>
        </w:rPr>
        <w:t>Total Liabilities</w:t>
      </w:r>
    </w:p>
    <w:p w14:paraId="51C5BE56" w14:textId="77777777" w:rsidR="003D4CDC" w:rsidRPr="00E07692" w:rsidRDefault="003D4CDC" w:rsidP="0012756C">
      <w:pPr>
        <w:numPr>
          <w:ilvl w:val="0"/>
          <w:numId w:val="1"/>
        </w:numPr>
        <w:shd w:val="clear" w:color="auto" w:fill="FFFFFF"/>
        <w:spacing w:before="100" w:beforeAutospacing="1" w:after="0" w:line="240" w:lineRule="auto"/>
        <w:rPr>
          <w:rFonts w:ascii="Arial" w:eastAsia="Times New Roman" w:hAnsi="Arial" w:cs="Arial"/>
          <w:color w:val="111111"/>
          <w:sz w:val="26"/>
          <w:szCs w:val="26"/>
        </w:rPr>
      </w:pPr>
    </w:p>
    <w:p w14:paraId="307BC0E0" w14:textId="3FAAADEC" w:rsidR="000F2505" w:rsidRDefault="00192F41" w:rsidP="00192F41">
      <w:pPr>
        <w:pStyle w:val="Heading1"/>
      </w:pPr>
      <w:r>
        <w:t>Back testing strategies</w:t>
      </w:r>
    </w:p>
    <w:p w14:paraId="165E9587" w14:textId="77777777" w:rsidR="00E07692" w:rsidRPr="00192F41" w:rsidRDefault="00E07692" w:rsidP="00E07692">
      <w:pPr>
        <w:pStyle w:val="ListParagraph"/>
        <w:numPr>
          <w:ilvl w:val="0"/>
          <w:numId w:val="1"/>
        </w:numPr>
      </w:pPr>
      <w:r>
        <w:rPr>
          <w:rFonts w:ascii="Arial" w:hAnsi="Arial" w:cs="Arial"/>
          <w:color w:val="111111"/>
          <w:sz w:val="26"/>
          <w:szCs w:val="26"/>
          <w:shd w:val="clear" w:color="auto" w:fill="FFFFFF"/>
        </w:rPr>
        <w:t>Backtesting is the general method for seeing how well a strategy or model would have done </w:t>
      </w:r>
      <w:hyperlink r:id="rId19" w:history="1">
        <w:r>
          <w:rPr>
            <w:rStyle w:val="Hyperlink"/>
            <w:rFonts w:ascii="Arial" w:hAnsi="Arial" w:cs="Arial"/>
            <w:color w:val="2C40D0"/>
            <w:sz w:val="26"/>
            <w:shd w:val="clear" w:color="auto" w:fill="FFFFFF"/>
          </w:rPr>
          <w:t>ex-post</w:t>
        </w:r>
      </w:hyperlink>
      <w:r>
        <w:rPr>
          <w:rFonts w:ascii="Arial" w:hAnsi="Arial" w:cs="Arial"/>
          <w:color w:val="111111"/>
          <w:sz w:val="26"/>
          <w:szCs w:val="26"/>
          <w:shd w:val="clear" w:color="auto" w:fill="FFFFFF"/>
        </w:rPr>
        <w:t>. Backtesting assesses the viability of a </w:t>
      </w:r>
      <w:hyperlink r:id="rId20" w:history="1">
        <w:r>
          <w:rPr>
            <w:rStyle w:val="Hyperlink"/>
            <w:rFonts w:ascii="Arial" w:hAnsi="Arial" w:cs="Arial"/>
            <w:color w:val="2C40D0"/>
            <w:sz w:val="26"/>
            <w:shd w:val="clear" w:color="auto" w:fill="FFFFFF"/>
          </w:rPr>
          <w:t>trading strategy</w:t>
        </w:r>
      </w:hyperlink>
      <w:r>
        <w:rPr>
          <w:rFonts w:ascii="Arial" w:hAnsi="Arial" w:cs="Arial"/>
          <w:color w:val="111111"/>
          <w:sz w:val="26"/>
          <w:szCs w:val="26"/>
          <w:shd w:val="clear" w:color="auto" w:fill="FFFFFF"/>
        </w:rPr>
        <w:t> by discovering how it would play out using historical data. If backtesting works, traders and analysts may have the confidence to employ it going forward.</w:t>
      </w:r>
    </w:p>
    <w:p w14:paraId="459B1357" w14:textId="77777777" w:rsidR="00E07692" w:rsidRPr="00192F41" w:rsidRDefault="00E07692" w:rsidP="00E076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92F41">
        <w:rPr>
          <w:rFonts w:ascii="Arial" w:eastAsia="Times New Roman" w:hAnsi="Arial" w:cs="Arial"/>
          <w:color w:val="111111"/>
          <w:sz w:val="26"/>
          <w:szCs w:val="26"/>
        </w:rPr>
        <w:t>Backtesting assesses the viability of a trading strategy or pricing model by discovering how it would have played out retrospectively using historical data.</w:t>
      </w:r>
    </w:p>
    <w:p w14:paraId="6941CC64" w14:textId="77777777" w:rsidR="00E07692" w:rsidRPr="00192F41" w:rsidRDefault="00E07692" w:rsidP="00E07692">
      <w:pPr>
        <w:pStyle w:val="ListParagraph"/>
        <w:numPr>
          <w:ilvl w:val="1"/>
          <w:numId w:val="1"/>
        </w:numPr>
      </w:pPr>
      <w:r>
        <w:rPr>
          <w:rFonts w:ascii="Arial" w:hAnsi="Arial" w:cs="Arial"/>
          <w:color w:val="111111"/>
          <w:sz w:val="26"/>
          <w:szCs w:val="26"/>
          <w:shd w:val="clear" w:color="auto" w:fill="FFFFFF"/>
        </w:rPr>
        <w:t>The underlying theory is that any strategy that worked well in the past is likely to work well in the future, and conversely, any strategy that performed poorly in the past is likely to perform poorly in the future</w:t>
      </w:r>
    </w:p>
    <w:p w14:paraId="1C4B05BA" w14:textId="77777777" w:rsidR="00E07692" w:rsidRPr="00192F41" w:rsidRDefault="00E07692" w:rsidP="00E07692">
      <w:pPr>
        <w:pStyle w:val="ListParagraph"/>
        <w:numPr>
          <w:ilvl w:val="1"/>
          <w:numId w:val="1"/>
        </w:numPr>
      </w:pPr>
      <w:r>
        <w:rPr>
          <w:rFonts w:ascii="Arial" w:hAnsi="Arial" w:cs="Arial"/>
          <w:color w:val="111111"/>
          <w:sz w:val="26"/>
          <w:szCs w:val="26"/>
          <w:shd w:val="clear" w:color="auto" w:fill="FFFFFF"/>
        </w:rPr>
        <w:t>When testing an idea on historical data, it is beneficial to reserve a time period of historical data for testing purposes. If it is successful, testing it on alternate time periods or out-of-sample data can help confirm its potential viability</w:t>
      </w:r>
    </w:p>
    <w:p w14:paraId="05CEE41D" w14:textId="77777777" w:rsidR="00E07692" w:rsidRPr="00192F41" w:rsidRDefault="00E07692" w:rsidP="00E07692">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92F41">
        <w:rPr>
          <w:rFonts w:ascii="Arial" w:eastAsia="Times New Roman" w:hAnsi="Arial" w:cs="Arial"/>
          <w:b/>
          <w:bCs/>
          <w:color w:val="111111"/>
          <w:sz w:val="26"/>
          <w:szCs w:val="26"/>
        </w:rPr>
        <w:t>Ex-post</w:t>
      </w:r>
      <w:r w:rsidRPr="00192F41">
        <w:rPr>
          <w:rFonts w:ascii="Arial" w:eastAsia="Times New Roman" w:hAnsi="Arial" w:cs="Arial"/>
          <w:color w:val="111111"/>
          <w:sz w:val="26"/>
          <w:szCs w:val="26"/>
        </w:rPr>
        <w:t xml:space="preserve"> is a word for actual returns and translates from Latin as "after the fact."</w:t>
      </w:r>
    </w:p>
    <w:p w14:paraId="6D11F164" w14:textId="77777777" w:rsidR="00E07692" w:rsidRPr="00192F41" w:rsidRDefault="00E07692" w:rsidP="00E07692">
      <w:pPr>
        <w:numPr>
          <w:ilvl w:val="1"/>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192F41">
        <w:rPr>
          <w:rFonts w:ascii="Arial" w:eastAsia="Times New Roman" w:hAnsi="Arial" w:cs="Arial"/>
          <w:color w:val="111111"/>
          <w:sz w:val="26"/>
          <w:szCs w:val="26"/>
        </w:rPr>
        <w:t>Ex-post analysis looks at financial results after they have occurred and utilizes them to predict the likelihood of future returns.</w:t>
      </w:r>
    </w:p>
    <w:p w14:paraId="646686C2" w14:textId="7878ED32" w:rsidR="00E07692" w:rsidRPr="004E1111" w:rsidRDefault="00E07692" w:rsidP="00E07692">
      <w:pPr>
        <w:pStyle w:val="ListParagraph"/>
        <w:numPr>
          <w:ilvl w:val="0"/>
          <w:numId w:val="1"/>
        </w:numPr>
      </w:pPr>
      <w:r>
        <w:rPr>
          <w:rFonts w:ascii="Arial" w:hAnsi="Arial" w:cs="Arial"/>
          <w:color w:val="111111"/>
          <w:sz w:val="26"/>
          <w:szCs w:val="26"/>
          <w:shd w:val="clear" w:color="auto" w:fill="FFFFFF"/>
        </w:rPr>
        <w:t xml:space="preserve">A backtest should consider all </w:t>
      </w:r>
      <w:r w:rsidRPr="00E07692">
        <w:rPr>
          <w:rFonts w:ascii="Arial" w:hAnsi="Arial" w:cs="Arial"/>
          <w:b/>
          <w:bCs/>
          <w:color w:val="111111"/>
          <w:sz w:val="26"/>
          <w:szCs w:val="26"/>
          <w:shd w:val="clear" w:color="auto" w:fill="FFFFFF"/>
        </w:rPr>
        <w:t>trading costs</w:t>
      </w:r>
      <w:r>
        <w:rPr>
          <w:rFonts w:ascii="Arial" w:hAnsi="Arial" w:cs="Arial"/>
          <w:color w:val="111111"/>
          <w:sz w:val="26"/>
          <w:szCs w:val="26"/>
          <w:shd w:val="clear" w:color="auto" w:fill="FFFFFF"/>
        </w:rPr>
        <w:t>, however insignificant, as these can add up over the course of the backtesting period and drastically affect the appearance of a strategy’s profitability. Traders should ensure that their backtesting software accounts for these costs.</w:t>
      </w:r>
    </w:p>
    <w:p w14:paraId="52309AAA" w14:textId="38B56317" w:rsidR="004E1111" w:rsidRPr="004E1111" w:rsidRDefault="004E1111" w:rsidP="00E07692">
      <w:pPr>
        <w:pStyle w:val="ListParagraph"/>
        <w:numPr>
          <w:ilvl w:val="0"/>
          <w:numId w:val="1"/>
        </w:numPr>
      </w:pPr>
      <w:r>
        <w:rPr>
          <w:rFonts w:ascii="Arial" w:hAnsi="Arial" w:cs="Arial"/>
          <w:color w:val="111111"/>
          <w:sz w:val="26"/>
          <w:szCs w:val="26"/>
          <w:shd w:val="clear" w:color="auto" w:fill="FFFFFF"/>
        </w:rPr>
        <w:t xml:space="preserve">For backtesting to provide meaningful results, traders must develop their strategies and test them in good faith, avoiding bias as much as possible. </w:t>
      </w:r>
      <w:r>
        <w:rPr>
          <w:rFonts w:ascii="Arial" w:hAnsi="Arial" w:cs="Arial"/>
          <w:color w:val="111111"/>
          <w:sz w:val="26"/>
          <w:szCs w:val="26"/>
          <w:shd w:val="clear" w:color="auto" w:fill="FFFFFF"/>
        </w:rPr>
        <w:lastRenderedPageBreak/>
        <w:t>That means the strategy should be developed without relying on the data used in backtesting.</w:t>
      </w:r>
    </w:p>
    <w:p w14:paraId="21A749F1" w14:textId="33F900AD" w:rsidR="004E1111" w:rsidRPr="004E1111" w:rsidRDefault="004E1111" w:rsidP="00E07692">
      <w:pPr>
        <w:pStyle w:val="ListParagraph"/>
        <w:numPr>
          <w:ilvl w:val="0"/>
          <w:numId w:val="1"/>
        </w:numPr>
      </w:pPr>
      <w:r>
        <w:rPr>
          <w:rFonts w:ascii="Arial" w:hAnsi="Arial" w:cs="Arial"/>
          <w:color w:val="111111"/>
          <w:sz w:val="26"/>
          <w:szCs w:val="26"/>
          <w:shd w:val="clear" w:color="auto" w:fill="FFFFFF"/>
        </w:rPr>
        <w:t xml:space="preserve">That’s harder than it seems. Traders generally build strategies based on historical data. </w:t>
      </w:r>
      <w:r w:rsidRPr="004E1111">
        <w:rPr>
          <w:rFonts w:ascii="Arial" w:hAnsi="Arial" w:cs="Arial"/>
          <w:color w:val="111111"/>
          <w:sz w:val="26"/>
          <w:szCs w:val="26"/>
          <w:u w:val="single"/>
          <w:shd w:val="clear" w:color="auto" w:fill="FFFFFF"/>
        </w:rPr>
        <w:t>They must be strict about testing with different data sets from those they train their models on. Otherwise, the backtest will produce glowing results that mean nothing</w:t>
      </w:r>
    </w:p>
    <w:p w14:paraId="729BB6E0" w14:textId="4D13B775" w:rsidR="004E1111" w:rsidRPr="003D4CDC" w:rsidRDefault="004E1111" w:rsidP="00E07692">
      <w:pPr>
        <w:pStyle w:val="ListParagraph"/>
        <w:numPr>
          <w:ilvl w:val="0"/>
          <w:numId w:val="1"/>
        </w:numPr>
      </w:pPr>
      <w:r>
        <w:rPr>
          <w:rFonts w:ascii="Arial" w:hAnsi="Arial" w:cs="Arial"/>
          <w:color w:val="111111"/>
          <w:sz w:val="26"/>
          <w:szCs w:val="26"/>
          <w:shd w:val="clear" w:color="auto" w:fill="FFFFFF"/>
        </w:rPr>
        <w:t>One way to compensate for the tendency to data dredge or cherry-pick is to use a strategy that succeeds in the relevant, or in-sample, time period and backtest it with data from a different, or out-of-sample, time period. If in-sample and out-of-sample backtests yield similar results, then they are more likely to be proved valid.</w:t>
      </w:r>
    </w:p>
    <w:p w14:paraId="0871DB2C" w14:textId="77777777" w:rsidR="003D4CDC" w:rsidRPr="00E07692" w:rsidRDefault="003D4CDC" w:rsidP="003D4CDC"/>
    <w:p w14:paraId="521CD73C" w14:textId="0F710B26" w:rsidR="00E07692" w:rsidRPr="00E07692" w:rsidRDefault="00E07692" w:rsidP="00E07692">
      <w:pPr>
        <w:rPr>
          <w:rStyle w:val="mntl-sc-block-headingtext"/>
          <w:rFonts w:ascii="Arial" w:hAnsi="Arial" w:cs="Arial"/>
          <w:color w:val="111111"/>
        </w:rPr>
      </w:pPr>
      <w:r>
        <w:rPr>
          <w:rStyle w:val="mntl-sc-block-headingtext"/>
          <w:rFonts w:ascii="Arial" w:hAnsi="Arial" w:cs="Arial"/>
          <w:b/>
          <w:bCs/>
          <w:color w:val="111111"/>
        </w:rPr>
        <w:t>Forward Performance Testing</w:t>
      </w:r>
    </w:p>
    <w:p w14:paraId="308AA301" w14:textId="7EC56AF2" w:rsidR="00E07692" w:rsidRPr="00E07692" w:rsidRDefault="00E07692" w:rsidP="00E07692">
      <w:pPr>
        <w:pStyle w:val="ListParagraph"/>
        <w:numPr>
          <w:ilvl w:val="0"/>
          <w:numId w:val="14"/>
        </w:numPr>
        <w:rPr>
          <w:sz w:val="36"/>
        </w:rPr>
      </w:pPr>
      <w:r w:rsidRPr="00E07692">
        <w:rPr>
          <w:rFonts w:ascii="Arial" w:hAnsi="Arial" w:cs="Arial"/>
          <w:color w:val="111111"/>
          <w:sz w:val="26"/>
          <w:szCs w:val="26"/>
          <w:shd w:val="clear" w:color="auto" w:fill="FFFFFF"/>
        </w:rPr>
        <w:t>Forward performance testing, also known as </w:t>
      </w:r>
      <w:hyperlink r:id="rId21" w:history="1">
        <w:r w:rsidRPr="00E07692">
          <w:rPr>
            <w:rStyle w:val="Hyperlink"/>
            <w:rFonts w:ascii="Arial" w:hAnsi="Arial" w:cs="Arial"/>
            <w:color w:val="2C40D0"/>
            <w:sz w:val="26"/>
            <w:shd w:val="clear" w:color="auto" w:fill="FFFFFF"/>
          </w:rPr>
          <w:t>paper trading</w:t>
        </w:r>
      </w:hyperlink>
      <w:r w:rsidRPr="00E07692">
        <w:rPr>
          <w:rFonts w:ascii="Arial" w:hAnsi="Arial" w:cs="Arial"/>
          <w:color w:val="111111"/>
          <w:sz w:val="26"/>
          <w:szCs w:val="26"/>
          <w:shd w:val="clear" w:color="auto" w:fill="FFFFFF"/>
        </w:rPr>
        <w:t>, provides traders with another set of out-of-sample data on which to evaluate a system. Forward performance testing is a simulation of actual trading and involves following the system's logic in a live market. It is also called paper trading since all trades are executed on paper only; that is, trade entries and exits are documented along with any profit or loss for the system, but no real trades are executed.</w:t>
      </w:r>
    </w:p>
    <w:p w14:paraId="76A4C451" w14:textId="77777777" w:rsidR="00E07692" w:rsidRPr="00E07692" w:rsidRDefault="00E07692" w:rsidP="00E07692">
      <w:pPr>
        <w:pStyle w:val="ListParagraph"/>
        <w:numPr>
          <w:ilvl w:val="0"/>
          <w:numId w:val="14"/>
        </w:numPr>
        <w:rPr>
          <w:sz w:val="36"/>
        </w:rPr>
      </w:pPr>
    </w:p>
    <w:p w14:paraId="4C2B5D22" w14:textId="77777777" w:rsidR="00E07692" w:rsidRPr="00E07692" w:rsidRDefault="00E07692" w:rsidP="00E07692">
      <w:pPr>
        <w:ind w:left="360"/>
        <w:rPr>
          <w:sz w:val="36"/>
        </w:rPr>
      </w:pPr>
    </w:p>
    <w:p w14:paraId="6F8C2648" w14:textId="77777777" w:rsidR="00E07692" w:rsidRPr="000F2505" w:rsidRDefault="00E07692" w:rsidP="00E07692"/>
    <w:p w14:paraId="11DF0D0E" w14:textId="77777777" w:rsidR="00192F41" w:rsidRPr="00192F41" w:rsidRDefault="00192F41" w:rsidP="00192F41"/>
    <w:sectPr w:rsidR="00192F41" w:rsidRPr="0019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308"/>
    <w:multiLevelType w:val="multilevel"/>
    <w:tmpl w:val="0D7C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D4FA2"/>
    <w:multiLevelType w:val="multilevel"/>
    <w:tmpl w:val="67F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81EC0"/>
    <w:multiLevelType w:val="multilevel"/>
    <w:tmpl w:val="D48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F041D"/>
    <w:multiLevelType w:val="multilevel"/>
    <w:tmpl w:val="1A6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27370"/>
    <w:multiLevelType w:val="multilevel"/>
    <w:tmpl w:val="E1C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F5F5C"/>
    <w:multiLevelType w:val="hybridMultilevel"/>
    <w:tmpl w:val="448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E2E05"/>
    <w:multiLevelType w:val="multilevel"/>
    <w:tmpl w:val="750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F3D8D"/>
    <w:multiLevelType w:val="multilevel"/>
    <w:tmpl w:val="0B3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F6379B"/>
    <w:multiLevelType w:val="hybridMultilevel"/>
    <w:tmpl w:val="E5C0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44B0E"/>
    <w:multiLevelType w:val="hybridMultilevel"/>
    <w:tmpl w:val="22104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96E3B"/>
    <w:multiLevelType w:val="multilevel"/>
    <w:tmpl w:val="49E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B6FF2"/>
    <w:multiLevelType w:val="hybridMultilevel"/>
    <w:tmpl w:val="C4E8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D7350"/>
    <w:multiLevelType w:val="multilevel"/>
    <w:tmpl w:val="2A4A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7257EE"/>
    <w:multiLevelType w:val="multilevel"/>
    <w:tmpl w:val="3C5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704F0"/>
    <w:multiLevelType w:val="multilevel"/>
    <w:tmpl w:val="306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F3E36"/>
    <w:multiLevelType w:val="multilevel"/>
    <w:tmpl w:val="9DC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E00"/>
    <w:multiLevelType w:val="multilevel"/>
    <w:tmpl w:val="4DB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B7321F"/>
    <w:multiLevelType w:val="multilevel"/>
    <w:tmpl w:val="3440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E81F29"/>
    <w:multiLevelType w:val="multilevel"/>
    <w:tmpl w:val="652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B4C62"/>
    <w:multiLevelType w:val="multilevel"/>
    <w:tmpl w:val="3F4E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8"/>
  </w:num>
  <w:num w:numId="3">
    <w:abstractNumId w:val="15"/>
  </w:num>
  <w:num w:numId="4">
    <w:abstractNumId w:val="14"/>
  </w:num>
  <w:num w:numId="5">
    <w:abstractNumId w:val="0"/>
  </w:num>
  <w:num w:numId="6">
    <w:abstractNumId w:val="4"/>
  </w:num>
  <w:num w:numId="7">
    <w:abstractNumId w:val="2"/>
  </w:num>
  <w:num w:numId="8">
    <w:abstractNumId w:val="19"/>
  </w:num>
  <w:num w:numId="9">
    <w:abstractNumId w:val="1"/>
  </w:num>
  <w:num w:numId="10">
    <w:abstractNumId w:val="13"/>
  </w:num>
  <w:num w:numId="11">
    <w:abstractNumId w:val="3"/>
  </w:num>
  <w:num w:numId="12">
    <w:abstractNumId w:val="11"/>
  </w:num>
  <w:num w:numId="13">
    <w:abstractNumId w:val="5"/>
  </w:num>
  <w:num w:numId="14">
    <w:abstractNumId w:val="8"/>
  </w:num>
  <w:num w:numId="15">
    <w:abstractNumId w:val="7"/>
  </w:num>
  <w:num w:numId="16">
    <w:abstractNumId w:val="6"/>
  </w:num>
  <w:num w:numId="17">
    <w:abstractNumId w:val="17"/>
  </w:num>
  <w:num w:numId="18">
    <w:abstractNumId w:val="10"/>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E8"/>
    <w:rsid w:val="000F2505"/>
    <w:rsid w:val="0012756C"/>
    <w:rsid w:val="00192F41"/>
    <w:rsid w:val="002C3E8F"/>
    <w:rsid w:val="003D4CDC"/>
    <w:rsid w:val="004E1111"/>
    <w:rsid w:val="00516F8E"/>
    <w:rsid w:val="005733E8"/>
    <w:rsid w:val="0059714C"/>
    <w:rsid w:val="00750AA4"/>
    <w:rsid w:val="007C4392"/>
    <w:rsid w:val="00CD6647"/>
    <w:rsid w:val="00E0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70B9"/>
  <w15:chartTrackingRefBased/>
  <w15:docId w15:val="{23AD3E05-665D-4A57-82F2-A46B1111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14C"/>
    <w:rPr>
      <w:sz w:val="28"/>
    </w:rPr>
  </w:style>
  <w:style w:type="paragraph" w:styleId="Heading1">
    <w:name w:val="heading 1"/>
    <w:basedOn w:val="Normal"/>
    <w:next w:val="Normal"/>
    <w:link w:val="Heading1Char"/>
    <w:uiPriority w:val="9"/>
    <w:qFormat/>
    <w:rsid w:val="0059714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semiHidden/>
    <w:unhideWhenUsed/>
    <w:qFormat/>
    <w:rsid w:val="0059714C"/>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4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semiHidden/>
    <w:rsid w:val="0059714C"/>
    <w:rPr>
      <w:rFonts w:asciiTheme="majorHAnsi" w:eastAsiaTheme="majorEastAsia" w:hAnsiTheme="majorHAnsi" w:cstheme="majorBidi"/>
      <w:b/>
      <w:color w:val="2F5496" w:themeColor="accent1" w:themeShade="BF"/>
      <w:sz w:val="32"/>
      <w:szCs w:val="26"/>
    </w:rPr>
  </w:style>
  <w:style w:type="paragraph" w:styleId="Title">
    <w:name w:val="Title"/>
    <w:basedOn w:val="Normal"/>
    <w:next w:val="Normal"/>
    <w:link w:val="TitleChar"/>
    <w:uiPriority w:val="10"/>
    <w:qFormat/>
    <w:rsid w:val="00597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714C"/>
    <w:pPr>
      <w:ind w:left="720"/>
      <w:contextualSpacing/>
    </w:pPr>
  </w:style>
  <w:style w:type="character" w:styleId="Hyperlink">
    <w:name w:val="Hyperlink"/>
    <w:basedOn w:val="DefaultParagraphFont"/>
    <w:uiPriority w:val="99"/>
    <w:semiHidden/>
    <w:unhideWhenUsed/>
    <w:rsid w:val="00516F8E"/>
    <w:rPr>
      <w:color w:val="0000FF"/>
      <w:u w:val="single"/>
    </w:rPr>
  </w:style>
  <w:style w:type="character" w:customStyle="1" w:styleId="mntl-sc-block-headingtext">
    <w:name w:val="mntl-sc-block-heading__text"/>
    <w:basedOn w:val="DefaultParagraphFont"/>
    <w:rsid w:val="00E07692"/>
  </w:style>
  <w:style w:type="character" w:customStyle="1" w:styleId="mord">
    <w:name w:val="mord"/>
    <w:basedOn w:val="DefaultParagraphFont"/>
    <w:rsid w:val="0012756C"/>
  </w:style>
  <w:style w:type="character" w:customStyle="1" w:styleId="mrel">
    <w:name w:val="mrel"/>
    <w:basedOn w:val="DefaultParagraphFont"/>
    <w:rsid w:val="0012756C"/>
  </w:style>
  <w:style w:type="character" w:customStyle="1" w:styleId="mbin">
    <w:name w:val="mbin"/>
    <w:basedOn w:val="DefaultParagraphFont"/>
    <w:rsid w:val="0012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1678">
      <w:bodyDiv w:val="1"/>
      <w:marLeft w:val="0"/>
      <w:marRight w:val="0"/>
      <w:marTop w:val="0"/>
      <w:marBottom w:val="0"/>
      <w:divBdr>
        <w:top w:val="none" w:sz="0" w:space="0" w:color="auto"/>
        <w:left w:val="none" w:sz="0" w:space="0" w:color="auto"/>
        <w:bottom w:val="none" w:sz="0" w:space="0" w:color="auto"/>
        <w:right w:val="none" w:sz="0" w:space="0" w:color="auto"/>
      </w:divBdr>
    </w:div>
    <w:div w:id="208733763">
      <w:bodyDiv w:val="1"/>
      <w:marLeft w:val="0"/>
      <w:marRight w:val="0"/>
      <w:marTop w:val="0"/>
      <w:marBottom w:val="0"/>
      <w:divBdr>
        <w:top w:val="none" w:sz="0" w:space="0" w:color="auto"/>
        <w:left w:val="none" w:sz="0" w:space="0" w:color="auto"/>
        <w:bottom w:val="none" w:sz="0" w:space="0" w:color="auto"/>
        <w:right w:val="none" w:sz="0" w:space="0" w:color="auto"/>
      </w:divBdr>
    </w:div>
    <w:div w:id="430468778">
      <w:bodyDiv w:val="1"/>
      <w:marLeft w:val="0"/>
      <w:marRight w:val="0"/>
      <w:marTop w:val="0"/>
      <w:marBottom w:val="0"/>
      <w:divBdr>
        <w:top w:val="none" w:sz="0" w:space="0" w:color="auto"/>
        <w:left w:val="none" w:sz="0" w:space="0" w:color="auto"/>
        <w:bottom w:val="none" w:sz="0" w:space="0" w:color="auto"/>
        <w:right w:val="none" w:sz="0" w:space="0" w:color="auto"/>
      </w:divBdr>
    </w:div>
    <w:div w:id="509835242">
      <w:bodyDiv w:val="1"/>
      <w:marLeft w:val="0"/>
      <w:marRight w:val="0"/>
      <w:marTop w:val="0"/>
      <w:marBottom w:val="0"/>
      <w:divBdr>
        <w:top w:val="none" w:sz="0" w:space="0" w:color="auto"/>
        <w:left w:val="none" w:sz="0" w:space="0" w:color="auto"/>
        <w:bottom w:val="none" w:sz="0" w:space="0" w:color="auto"/>
        <w:right w:val="none" w:sz="0" w:space="0" w:color="auto"/>
      </w:divBdr>
    </w:div>
    <w:div w:id="572129876">
      <w:bodyDiv w:val="1"/>
      <w:marLeft w:val="0"/>
      <w:marRight w:val="0"/>
      <w:marTop w:val="0"/>
      <w:marBottom w:val="0"/>
      <w:divBdr>
        <w:top w:val="none" w:sz="0" w:space="0" w:color="auto"/>
        <w:left w:val="none" w:sz="0" w:space="0" w:color="auto"/>
        <w:bottom w:val="none" w:sz="0" w:space="0" w:color="auto"/>
        <w:right w:val="none" w:sz="0" w:space="0" w:color="auto"/>
      </w:divBdr>
    </w:div>
    <w:div w:id="605431735">
      <w:bodyDiv w:val="1"/>
      <w:marLeft w:val="0"/>
      <w:marRight w:val="0"/>
      <w:marTop w:val="0"/>
      <w:marBottom w:val="0"/>
      <w:divBdr>
        <w:top w:val="none" w:sz="0" w:space="0" w:color="auto"/>
        <w:left w:val="none" w:sz="0" w:space="0" w:color="auto"/>
        <w:bottom w:val="none" w:sz="0" w:space="0" w:color="auto"/>
        <w:right w:val="none" w:sz="0" w:space="0" w:color="auto"/>
      </w:divBdr>
    </w:div>
    <w:div w:id="645937708">
      <w:bodyDiv w:val="1"/>
      <w:marLeft w:val="0"/>
      <w:marRight w:val="0"/>
      <w:marTop w:val="0"/>
      <w:marBottom w:val="0"/>
      <w:divBdr>
        <w:top w:val="none" w:sz="0" w:space="0" w:color="auto"/>
        <w:left w:val="none" w:sz="0" w:space="0" w:color="auto"/>
        <w:bottom w:val="none" w:sz="0" w:space="0" w:color="auto"/>
        <w:right w:val="none" w:sz="0" w:space="0" w:color="auto"/>
      </w:divBdr>
    </w:div>
    <w:div w:id="646008740">
      <w:bodyDiv w:val="1"/>
      <w:marLeft w:val="0"/>
      <w:marRight w:val="0"/>
      <w:marTop w:val="0"/>
      <w:marBottom w:val="0"/>
      <w:divBdr>
        <w:top w:val="none" w:sz="0" w:space="0" w:color="auto"/>
        <w:left w:val="none" w:sz="0" w:space="0" w:color="auto"/>
        <w:bottom w:val="none" w:sz="0" w:space="0" w:color="auto"/>
        <w:right w:val="none" w:sz="0" w:space="0" w:color="auto"/>
      </w:divBdr>
    </w:div>
    <w:div w:id="661929854">
      <w:bodyDiv w:val="1"/>
      <w:marLeft w:val="0"/>
      <w:marRight w:val="0"/>
      <w:marTop w:val="0"/>
      <w:marBottom w:val="0"/>
      <w:divBdr>
        <w:top w:val="none" w:sz="0" w:space="0" w:color="auto"/>
        <w:left w:val="none" w:sz="0" w:space="0" w:color="auto"/>
        <w:bottom w:val="none" w:sz="0" w:space="0" w:color="auto"/>
        <w:right w:val="none" w:sz="0" w:space="0" w:color="auto"/>
      </w:divBdr>
    </w:div>
    <w:div w:id="734278566">
      <w:bodyDiv w:val="1"/>
      <w:marLeft w:val="0"/>
      <w:marRight w:val="0"/>
      <w:marTop w:val="0"/>
      <w:marBottom w:val="0"/>
      <w:divBdr>
        <w:top w:val="none" w:sz="0" w:space="0" w:color="auto"/>
        <w:left w:val="none" w:sz="0" w:space="0" w:color="auto"/>
        <w:bottom w:val="none" w:sz="0" w:space="0" w:color="auto"/>
        <w:right w:val="none" w:sz="0" w:space="0" w:color="auto"/>
      </w:divBdr>
    </w:div>
    <w:div w:id="739716407">
      <w:bodyDiv w:val="1"/>
      <w:marLeft w:val="0"/>
      <w:marRight w:val="0"/>
      <w:marTop w:val="0"/>
      <w:marBottom w:val="0"/>
      <w:divBdr>
        <w:top w:val="none" w:sz="0" w:space="0" w:color="auto"/>
        <w:left w:val="none" w:sz="0" w:space="0" w:color="auto"/>
        <w:bottom w:val="none" w:sz="0" w:space="0" w:color="auto"/>
        <w:right w:val="none" w:sz="0" w:space="0" w:color="auto"/>
      </w:divBdr>
    </w:div>
    <w:div w:id="759327213">
      <w:bodyDiv w:val="1"/>
      <w:marLeft w:val="0"/>
      <w:marRight w:val="0"/>
      <w:marTop w:val="0"/>
      <w:marBottom w:val="0"/>
      <w:divBdr>
        <w:top w:val="none" w:sz="0" w:space="0" w:color="auto"/>
        <w:left w:val="none" w:sz="0" w:space="0" w:color="auto"/>
        <w:bottom w:val="none" w:sz="0" w:space="0" w:color="auto"/>
        <w:right w:val="none" w:sz="0" w:space="0" w:color="auto"/>
      </w:divBdr>
    </w:div>
    <w:div w:id="781262294">
      <w:bodyDiv w:val="1"/>
      <w:marLeft w:val="0"/>
      <w:marRight w:val="0"/>
      <w:marTop w:val="0"/>
      <w:marBottom w:val="0"/>
      <w:divBdr>
        <w:top w:val="none" w:sz="0" w:space="0" w:color="auto"/>
        <w:left w:val="none" w:sz="0" w:space="0" w:color="auto"/>
        <w:bottom w:val="none" w:sz="0" w:space="0" w:color="auto"/>
        <w:right w:val="none" w:sz="0" w:space="0" w:color="auto"/>
      </w:divBdr>
    </w:div>
    <w:div w:id="783839816">
      <w:bodyDiv w:val="1"/>
      <w:marLeft w:val="0"/>
      <w:marRight w:val="0"/>
      <w:marTop w:val="0"/>
      <w:marBottom w:val="0"/>
      <w:divBdr>
        <w:top w:val="none" w:sz="0" w:space="0" w:color="auto"/>
        <w:left w:val="none" w:sz="0" w:space="0" w:color="auto"/>
        <w:bottom w:val="none" w:sz="0" w:space="0" w:color="auto"/>
        <w:right w:val="none" w:sz="0" w:space="0" w:color="auto"/>
      </w:divBdr>
    </w:div>
    <w:div w:id="874999695">
      <w:bodyDiv w:val="1"/>
      <w:marLeft w:val="0"/>
      <w:marRight w:val="0"/>
      <w:marTop w:val="0"/>
      <w:marBottom w:val="0"/>
      <w:divBdr>
        <w:top w:val="none" w:sz="0" w:space="0" w:color="auto"/>
        <w:left w:val="none" w:sz="0" w:space="0" w:color="auto"/>
        <w:bottom w:val="none" w:sz="0" w:space="0" w:color="auto"/>
        <w:right w:val="none" w:sz="0" w:space="0" w:color="auto"/>
      </w:divBdr>
    </w:div>
    <w:div w:id="1087312256">
      <w:bodyDiv w:val="1"/>
      <w:marLeft w:val="0"/>
      <w:marRight w:val="0"/>
      <w:marTop w:val="0"/>
      <w:marBottom w:val="0"/>
      <w:divBdr>
        <w:top w:val="none" w:sz="0" w:space="0" w:color="auto"/>
        <w:left w:val="none" w:sz="0" w:space="0" w:color="auto"/>
        <w:bottom w:val="none" w:sz="0" w:space="0" w:color="auto"/>
        <w:right w:val="none" w:sz="0" w:space="0" w:color="auto"/>
      </w:divBdr>
    </w:div>
    <w:div w:id="1796177283">
      <w:bodyDiv w:val="1"/>
      <w:marLeft w:val="0"/>
      <w:marRight w:val="0"/>
      <w:marTop w:val="0"/>
      <w:marBottom w:val="0"/>
      <w:divBdr>
        <w:top w:val="none" w:sz="0" w:space="0" w:color="auto"/>
        <w:left w:val="none" w:sz="0" w:space="0" w:color="auto"/>
        <w:bottom w:val="none" w:sz="0" w:space="0" w:color="auto"/>
        <w:right w:val="none" w:sz="0" w:space="0" w:color="auto"/>
      </w:divBdr>
    </w:div>
    <w:div w:id="2043288618">
      <w:bodyDiv w:val="1"/>
      <w:marLeft w:val="0"/>
      <w:marRight w:val="0"/>
      <w:marTop w:val="0"/>
      <w:marBottom w:val="0"/>
      <w:divBdr>
        <w:top w:val="none" w:sz="0" w:space="0" w:color="auto"/>
        <w:left w:val="none" w:sz="0" w:space="0" w:color="auto"/>
        <w:bottom w:val="none" w:sz="0" w:space="0" w:color="auto"/>
        <w:right w:val="none" w:sz="0" w:space="0" w:color="auto"/>
      </w:divBdr>
    </w:div>
    <w:div w:id="2082754604">
      <w:bodyDiv w:val="1"/>
      <w:marLeft w:val="0"/>
      <w:marRight w:val="0"/>
      <w:marTop w:val="0"/>
      <w:marBottom w:val="0"/>
      <w:divBdr>
        <w:top w:val="none" w:sz="0" w:space="0" w:color="auto"/>
        <w:left w:val="none" w:sz="0" w:space="0" w:color="auto"/>
        <w:bottom w:val="none" w:sz="0" w:space="0" w:color="auto"/>
        <w:right w:val="none" w:sz="0" w:space="0" w:color="auto"/>
      </w:divBdr>
    </w:div>
    <w:div w:id="212988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sset.asp" TargetMode="External"/><Relationship Id="rId13" Type="http://schemas.openxmlformats.org/officeDocument/2006/relationships/hyperlink" Target="https://www.investopedia.com/ask/answers/difference-between-options-and-futures/" TargetMode="External"/><Relationship Id="rId18" Type="http://schemas.openxmlformats.org/officeDocument/2006/relationships/hyperlink" Target="https://www.investopedia.com/terms/f/futures.asp" TargetMode="External"/><Relationship Id="rId3" Type="http://schemas.openxmlformats.org/officeDocument/2006/relationships/settings" Target="settings.xml"/><Relationship Id="rId21" Type="http://schemas.openxmlformats.org/officeDocument/2006/relationships/hyperlink" Target="https://www.investopedia.com/terms/p/papertrade.asp" TargetMode="External"/><Relationship Id="rId7" Type="http://schemas.openxmlformats.org/officeDocument/2006/relationships/hyperlink" Target="https://www.investopedia.com/terms/o/openingbell.asp" TargetMode="External"/><Relationship Id="rId12" Type="http://schemas.openxmlformats.org/officeDocument/2006/relationships/hyperlink" Target="https://www.investopedia.com/terms/d/derivative.asp" TargetMode="External"/><Relationship Id="rId17" Type="http://schemas.openxmlformats.org/officeDocument/2006/relationships/hyperlink" Target="https://www.investopedia.com/terms/c/currency.asp" TargetMode="External"/><Relationship Id="rId2" Type="http://schemas.openxmlformats.org/officeDocument/2006/relationships/styles" Target="styles.xml"/><Relationship Id="rId16" Type="http://schemas.openxmlformats.org/officeDocument/2006/relationships/hyperlink" Target="https://www.investopedia.com/best-brokers-for-options-trading-4587876" TargetMode="External"/><Relationship Id="rId20" Type="http://schemas.openxmlformats.org/officeDocument/2006/relationships/hyperlink" Target="https://www.investopedia.com/terms/t/trading-strategy.asp" TargetMode="External"/><Relationship Id="rId1" Type="http://schemas.openxmlformats.org/officeDocument/2006/relationships/numbering" Target="numbering.xml"/><Relationship Id="rId6" Type="http://schemas.openxmlformats.org/officeDocument/2006/relationships/hyperlink" Target="https://www.investopedia.com/terms/c/closingbell.asp" TargetMode="External"/><Relationship Id="rId11" Type="http://schemas.openxmlformats.org/officeDocument/2006/relationships/hyperlink" Target="https://www.investopedia.com/terms/f/financialinstrument.asp" TargetMode="External"/><Relationship Id="rId5" Type="http://schemas.openxmlformats.org/officeDocument/2006/relationships/hyperlink" Target="https://www.investopedia.com/terms/o/openingprice.asp" TargetMode="External"/><Relationship Id="rId15" Type="http://schemas.openxmlformats.org/officeDocument/2006/relationships/hyperlink" Target="https://www.investopedia.com/terms/p/put.asp" TargetMode="External"/><Relationship Id="rId23" Type="http://schemas.openxmlformats.org/officeDocument/2006/relationships/theme" Target="theme/theme1.xml"/><Relationship Id="rId10" Type="http://schemas.openxmlformats.org/officeDocument/2006/relationships/hyperlink" Target="https://www.investopedia.com/terms/m/market-price.asp" TargetMode="External"/><Relationship Id="rId19" Type="http://schemas.openxmlformats.org/officeDocument/2006/relationships/hyperlink" Target="https://www.investopedia.com/terms/e/expost.asp" TargetMode="External"/><Relationship Id="rId4" Type="http://schemas.openxmlformats.org/officeDocument/2006/relationships/webSettings" Target="webSettings.xml"/><Relationship Id="rId9" Type="http://schemas.openxmlformats.org/officeDocument/2006/relationships/hyperlink" Target="https://www.investopedia.com/terms/s/security.asp" TargetMode="External"/><Relationship Id="rId14" Type="http://schemas.openxmlformats.org/officeDocument/2006/relationships/hyperlink" Target="https://www.investopedia.com/terms/c/call.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Nhat Hao</dc:creator>
  <cp:keywords/>
  <dc:description/>
  <cp:lastModifiedBy>Huynh Nhat Hao</cp:lastModifiedBy>
  <cp:revision>6</cp:revision>
  <dcterms:created xsi:type="dcterms:W3CDTF">2021-03-17T14:17:00Z</dcterms:created>
  <dcterms:modified xsi:type="dcterms:W3CDTF">2021-03-18T06:22:00Z</dcterms:modified>
</cp:coreProperties>
</file>