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TRƯỜNG ĐẠI HỌC CÔNG THƯƠNG TP. HỒ CHÍ MINH (HUIT)</w:t>
      </w:r>
    </w:p>
    <w:p>
      <w:pPr>
        <w:spacing w:after="480" w:line="276" w:lineRule="auto"/>
        <w:jc w:val="center"/>
      </w:pPr>
      <w:r>
        <w:rPr>
          <w:rFonts w:ascii="Times New Roman" w:hAnsi="Times New Roman"/>
          <w:b/>
          <w:sz w:val="24"/>
        </w:rPr>
        <w:t>KHOA CÔNG NGHỆ THÔNG TIN — BỘ MÔN KHOA HỌC DỮ LIỆU</w:t>
      </w:r>
    </w:p>
    <w:p>
      <w:pPr>
        <w:spacing w:before="720" w:after="160"/>
        <w:jc w:val="center"/>
      </w:pPr>
      <w:r>
        <w:rPr>
          <w:rFonts w:ascii="Times New Roman" w:hAnsi="Times New Roman"/>
          <w:b/>
          <w:sz w:val="32"/>
        </w:rPr>
        <w:t>BÁO CÁO ĐỒ ÁN KẾT THÚC HỌC PHẦN</w:t>
      </w:r>
    </w:p>
    <w:p>
      <w:pPr>
        <w:spacing w:after="80"/>
        <w:jc w:val="center"/>
      </w:pPr>
      <w:r>
        <w:rPr>
          <w:rFonts w:ascii="Times New Roman" w:hAnsi="Times New Roman"/>
          <w:b/>
          <w:sz w:val="26"/>
        </w:rPr>
        <w:t>HỌC PHẦN: XỬ LÝ ẢNH SỐ (MÃ HP: 0101006276)</w:t>
      </w:r>
    </w:p>
    <w:p>
      <w:pPr>
        <w:spacing w:after="720"/>
        <w:jc w:val="center"/>
      </w:pPr>
      <w:r>
        <w:rPr>
          <w:rFonts w:ascii="Times New Roman" w:hAnsi="Times New Roman"/>
          <w:i/>
          <w:sz w:val="26"/>
        </w:rPr>
        <w:t>NĂM HỌC: 2026 – 2027</w:t>
      </w:r>
    </w:p>
    <w:p>
      <w:pPr>
        <w:spacing w:after="80"/>
        <w:jc w:val="center"/>
      </w:pPr>
      <w:r>
        <w:rPr>
          <w:rFonts w:ascii="Times New Roman" w:hAnsi="Times New Roman"/>
          <w:b/>
          <w:sz w:val="26"/>
        </w:rPr>
        <w:t>ĐỀ TÀI:</w:t>
      </w:r>
    </w:p>
    <w:p>
      <w:pPr>
        <w:spacing w:after="960" w:line="312" w:lineRule="auto"/>
        <w:jc w:val="center"/>
      </w:pPr>
      <w:r>
        <w:rPr>
          <w:rFonts w:ascii="Times New Roman" w:hAnsi="Times New Roman"/>
          <w:b/>
          <w:sz w:val="30"/>
        </w:rPr>
        <w:t>PHÂN ĐOẠN VÀ PHÁT HIỆN KHỐI U NÃO TRÊN ẢNH CỘNG HƯỞNG TỪ (MRI) BẰNG KỸ THUẬT XỬ LÝ ẢNH SỐ</w:t>
      </w:r>
    </w:p>
    <w:p>
      <w:pPr>
        <w:spacing w:after="80"/>
        <w:ind w:left="1701"/>
        <w:jc w:val="left"/>
      </w:pPr>
      <w:r>
        <w:rPr>
          <w:rFonts w:ascii="Times New Roman" w:hAnsi="Times New Roman"/>
          <w:b/>
          <w:sz w:val="26"/>
        </w:rPr>
        <w:t>SINH VIÊN THỰC HIỆN:</w:t>
      </w:r>
    </w:p>
    <w:p>
      <w:pPr>
        <w:spacing w:after="40" w:line="288" w:lineRule="auto"/>
        <w:ind w:left="1984"/>
      </w:pPr>
      <w:r>
        <w:rPr>
          <w:rFonts w:ascii="Times New Roman" w:hAnsi="Times New Roman"/>
          <w:sz w:val="26"/>
        </w:rPr>
        <w:t>1. Hà Mạnh Trường    — MSSV: 2045240326    (Nhóm trưởng)</w:t>
      </w:r>
    </w:p>
    <w:p>
      <w:pPr>
        <w:spacing w:after="320" w:line="288" w:lineRule="auto"/>
        <w:ind w:left="1984"/>
      </w:pPr>
      <w:r>
        <w:rPr>
          <w:rFonts w:ascii="Times New Roman" w:hAnsi="Times New Roman"/>
          <w:sz w:val="26"/>
        </w:rPr>
        <w:t>2. Huỳnh Tâm Trí       — MSSV: 2045240315    (Thành viên)</w:t>
      </w:r>
    </w:p>
    <w:p>
      <w:pPr>
        <w:spacing w:after="960" w:line="288" w:lineRule="auto"/>
        <w:ind w:left="1701"/>
      </w:pPr>
      <w:r>
        <w:rPr>
          <w:rFonts w:ascii="Times New Roman" w:hAnsi="Times New Roman"/>
          <w:b/>
          <w:sz w:val="26"/>
        </w:rPr>
        <w:t xml:space="preserve">GIẢNG VIÊN HƯỚNG DẪN: </w:t>
      </w:r>
      <w:r>
        <w:rPr>
          <w:rFonts w:ascii="Times New Roman" w:hAnsi="Times New Roman"/>
          <w:sz w:val="26"/>
        </w:rPr>
        <w:t>ThS. / TS. .....................................................</w:t>
      </w:r>
    </w:p>
    <w:p>
      <w:pPr>
        <w:spacing w:before="720" w:after="0"/>
        <w:jc w:val="center"/>
      </w:pPr>
      <w:r>
        <w:rPr>
          <w:rFonts w:ascii="Times New Roman" w:hAnsi="Times New Roman"/>
          <w:i/>
          <w:sz w:val="24"/>
        </w:rPr>
        <w:t>TP. Hồ Chí Minh, Tháng 10 Năm 2026</w:t>
      </w:r>
    </w:p>
    <w:p>
      <w:r>
        <w:br w:type="page"/>
      </w:r>
    </w:p>
    <w:p>
      <w:pPr>
        <w:keepNext/>
        <w:spacing w:before="280" w:after="120" w:line="360" w:lineRule="auto"/>
      </w:pPr>
      <w:r>
        <w:rPr>
          <w:rFonts w:ascii="Times New Roman" w:hAnsi="Times New Roman"/>
          <w:b/>
          <w:i w:val="0"/>
          <w:sz w:val="26"/>
        </w:rPr>
        <w:t>THÔNG TIN NHÓM VÀ BẢNG PHÂN CÔNG NHIỆM VỤ</w:t>
      </w:r>
    </w:p>
    <w:p>
      <w:pPr>
        <w:spacing w:line="360" w:lineRule="auto" w:after="120"/>
        <w:jc w:val="both"/>
      </w:pPr>
      <w:r>
        <w:rPr>
          <w:rFonts w:ascii="Times New Roman" w:hAnsi="Times New Roman"/>
          <w:i w:val="0"/>
          <w:sz w:val="26"/>
        </w:rPr>
        <w:t>Nhóm sinh viên thực hiện đề tài gồm 02 thành viên, phân chia nhiệm vụ độc lập, minh bạch và bổ trợ lẫn nhau nhằm hoàn thành trọn vẹn toàn bộ các mục tiêu trong khuôn khổ 7 ngày làm việc:</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512"/>
        <w:gridCol w:w="1512"/>
        <w:gridCol w:w="1512"/>
        <w:gridCol w:w="1512"/>
        <w:gridCol w:w="1512"/>
        <w:gridCol w:w="1512"/>
      </w:tblGrid>
      <w:tr>
        <w:tc>
          <w:tcPr>
            <w:tcW w:type="dxa" w:w="1512"/>
            <w:shd w:val="clear" w:color="auto" w:fill="EAEAEA"/>
            <w:tcMar>
              <w:top w:w="120" w:type="dxa"/>
              <w:left w:w="100" w:type="dxa"/>
              <w:bottom w:w="120" w:type="dxa"/>
              <w:right w:w="100" w:type="dxa"/>
            </w:tcMar>
          </w:tcPr>
          <w:p>
            <w:pPr>
              <w:jc w:val="center"/>
            </w:pPr>
            <w:r>
              <w:rPr>
                <w:rFonts w:ascii="Times New Roman" w:hAnsi="Times New Roman"/>
                <w:b/>
                <w:sz w:val="24"/>
              </w:rPr>
              <w:t>STT</w:t>
            </w:r>
          </w:p>
        </w:tc>
        <w:tc>
          <w:tcPr>
            <w:tcW w:type="dxa" w:w="1512"/>
            <w:shd w:val="clear" w:color="auto" w:fill="EAEAEA"/>
            <w:tcMar>
              <w:top w:w="120" w:type="dxa"/>
              <w:left w:w="100" w:type="dxa"/>
              <w:bottom w:w="120" w:type="dxa"/>
              <w:right w:w="100" w:type="dxa"/>
            </w:tcMar>
          </w:tcPr>
          <w:p>
            <w:pPr>
              <w:jc w:val="center"/>
            </w:pPr>
            <w:r>
              <w:rPr>
                <w:rFonts w:ascii="Times New Roman" w:hAnsi="Times New Roman"/>
                <w:b/>
                <w:sz w:val="24"/>
              </w:rPr>
              <w:t>Họ và Tên</w:t>
            </w:r>
          </w:p>
        </w:tc>
        <w:tc>
          <w:tcPr>
            <w:tcW w:type="dxa" w:w="1512"/>
            <w:shd w:val="clear" w:color="auto" w:fill="EAEAEA"/>
            <w:tcMar>
              <w:top w:w="120" w:type="dxa"/>
              <w:left w:w="100" w:type="dxa"/>
              <w:bottom w:w="120" w:type="dxa"/>
              <w:right w:w="100" w:type="dxa"/>
            </w:tcMar>
          </w:tcPr>
          <w:p>
            <w:pPr>
              <w:jc w:val="center"/>
            </w:pPr>
            <w:r>
              <w:rPr>
                <w:rFonts w:ascii="Times New Roman" w:hAnsi="Times New Roman"/>
                <w:b/>
                <w:sz w:val="24"/>
              </w:rPr>
              <w:t>MSSV</w:t>
            </w:r>
          </w:p>
        </w:tc>
        <w:tc>
          <w:tcPr>
            <w:tcW w:type="dxa" w:w="1512"/>
            <w:shd w:val="clear" w:color="auto" w:fill="EAEAEA"/>
            <w:tcMar>
              <w:top w:w="120" w:type="dxa"/>
              <w:left w:w="100" w:type="dxa"/>
              <w:bottom w:w="120" w:type="dxa"/>
              <w:right w:w="100" w:type="dxa"/>
            </w:tcMar>
          </w:tcPr>
          <w:p>
            <w:pPr>
              <w:jc w:val="center"/>
            </w:pPr>
            <w:r>
              <w:rPr>
                <w:rFonts w:ascii="Times New Roman" w:hAnsi="Times New Roman"/>
                <w:b/>
                <w:sz w:val="24"/>
              </w:rPr>
              <w:t>Lớp</w:t>
            </w:r>
          </w:p>
        </w:tc>
        <w:tc>
          <w:tcPr>
            <w:tcW w:type="dxa" w:w="1512"/>
            <w:shd w:val="clear" w:color="auto" w:fill="EAEAEA"/>
            <w:tcMar>
              <w:top w:w="120" w:type="dxa"/>
              <w:left w:w="100" w:type="dxa"/>
              <w:bottom w:w="120" w:type="dxa"/>
              <w:right w:w="100" w:type="dxa"/>
            </w:tcMar>
          </w:tcPr>
          <w:p>
            <w:pPr>
              <w:jc w:val="center"/>
            </w:pPr>
            <w:r>
              <w:rPr>
                <w:rFonts w:ascii="Times New Roman" w:hAnsi="Times New Roman"/>
                <w:b/>
                <w:sz w:val="24"/>
              </w:rPr>
              <w:t>Vai Trò &amp; Phân Công Nhiệm Vụ</w:t>
            </w:r>
          </w:p>
        </w:tc>
        <w:tc>
          <w:tcPr>
            <w:tcW w:type="dxa" w:w="1512"/>
            <w:shd w:val="clear" w:color="auto" w:fill="EAEAEA"/>
            <w:tcMar>
              <w:top w:w="120" w:type="dxa"/>
              <w:left w:w="100" w:type="dxa"/>
              <w:bottom w:w="120" w:type="dxa"/>
              <w:right w:w="100" w:type="dxa"/>
            </w:tcMar>
          </w:tcPr>
          <w:p>
            <w:pPr>
              <w:jc w:val="center"/>
            </w:pPr>
            <w:r>
              <w:rPr>
                <w:rFonts w:ascii="Times New Roman" w:hAnsi="Times New Roman"/>
                <w:b/>
                <w:sz w:val="24"/>
              </w:rPr>
              <w:t>Đóng Góp</w:t>
            </w:r>
          </w:p>
        </w:tc>
      </w:tr>
      <w:tr>
        <w:tc>
          <w:tcPr>
            <w:tcW w:type="dxa" w:w="1512"/>
            <w:tcMar>
              <w:top w:w="100" w:type="dxa"/>
              <w:left w:w="100" w:type="dxa"/>
              <w:bottom w:w="100" w:type="dxa"/>
              <w:right w:w="100" w:type="dxa"/>
            </w:tcMar>
          </w:tcPr>
          <w:p>
            <w:pPr>
              <w:jc w:val="center"/>
            </w:pPr>
            <w:r>
              <w:rPr>
                <w:rFonts w:ascii="Times New Roman" w:hAnsi="Times New Roman"/>
                <w:sz w:val="24"/>
              </w:rPr>
              <w:t>1</w:t>
            </w:r>
          </w:p>
        </w:tc>
        <w:tc>
          <w:tcPr>
            <w:tcW w:type="dxa" w:w="1512"/>
            <w:tcMar>
              <w:top w:w="100" w:type="dxa"/>
              <w:left w:w="100" w:type="dxa"/>
              <w:bottom w:w="100" w:type="dxa"/>
              <w:right w:w="100" w:type="dxa"/>
            </w:tcMar>
          </w:tcPr>
          <w:p>
            <w:pPr>
              <w:jc w:val="left"/>
            </w:pPr>
            <w:r>
              <w:rPr>
                <w:rFonts w:ascii="Times New Roman" w:hAnsi="Times New Roman"/>
                <w:b/>
                <w:sz w:val="24"/>
              </w:rPr>
              <w:t>Hà Mạnh Trường</w:t>
            </w:r>
          </w:p>
        </w:tc>
        <w:tc>
          <w:tcPr>
            <w:tcW w:type="dxa" w:w="1512"/>
            <w:tcMar>
              <w:top w:w="100" w:type="dxa"/>
              <w:left w:w="100" w:type="dxa"/>
              <w:bottom w:w="100" w:type="dxa"/>
              <w:right w:w="100" w:type="dxa"/>
            </w:tcMar>
          </w:tcPr>
          <w:p>
            <w:pPr>
              <w:jc w:val="center"/>
            </w:pPr>
            <w:r>
              <w:rPr>
                <w:rFonts w:ascii="Times New Roman" w:hAnsi="Times New Roman"/>
                <w:sz w:val="24"/>
              </w:rPr>
              <w:t>2045240326</w:t>
            </w:r>
          </w:p>
        </w:tc>
        <w:tc>
          <w:tcPr>
            <w:tcW w:type="dxa" w:w="1512"/>
            <w:tcMar>
              <w:top w:w="100" w:type="dxa"/>
              <w:left w:w="100" w:type="dxa"/>
              <w:bottom w:w="100" w:type="dxa"/>
              <w:right w:w="100" w:type="dxa"/>
            </w:tcMar>
          </w:tcPr>
          <w:p>
            <w:pPr>
              <w:jc w:val="center"/>
            </w:pPr>
            <w:r>
              <w:rPr>
                <w:rFonts w:ascii="Times New Roman" w:hAnsi="Times New Roman"/>
                <w:sz w:val="24"/>
              </w:rPr>
              <w:t>13DHTH</w:t>
            </w:r>
          </w:p>
        </w:tc>
        <w:tc>
          <w:tcPr>
            <w:tcW w:type="dxa" w:w="1512"/>
            <w:tcMar>
              <w:top w:w="100" w:type="dxa"/>
              <w:left w:w="100" w:type="dxa"/>
              <w:bottom w:w="100" w:type="dxa"/>
              <w:right w:w="100" w:type="dxa"/>
            </w:tcMar>
          </w:tcPr>
          <w:p>
            <w:pPr>
              <w:jc w:val="left"/>
            </w:pPr>
            <w:r>
              <w:rPr>
                <w:rFonts w:ascii="Times New Roman" w:hAnsi="Times New Roman"/>
                <w:sz w:val="24"/>
              </w:rPr>
              <w:t>Nhóm trưởng: Phụ trách cấu trúc mã nguồn src/preprocessing, pipeline tách sọ não (Skull Stripping), cài đặt thuật toán phân đoạn u lõi Marker-controlled Watershed và Seeded Region Growing, tổng hợp báo cáo kỹ thuật.</w:t>
            </w:r>
          </w:p>
        </w:tc>
        <w:tc>
          <w:tcPr>
            <w:tcW w:type="dxa" w:w="1512"/>
            <w:tcMar>
              <w:top w:w="100" w:type="dxa"/>
              <w:left w:w="100" w:type="dxa"/>
              <w:bottom w:w="100" w:type="dxa"/>
              <w:right w:w="100" w:type="dxa"/>
            </w:tcMar>
          </w:tcPr>
          <w:p>
            <w:pPr>
              <w:jc w:val="center"/>
            </w:pPr>
            <w:r>
              <w:rPr>
                <w:rFonts w:ascii="Times New Roman" w:hAnsi="Times New Roman"/>
                <w:sz w:val="24"/>
              </w:rPr>
              <w:t>50%</w:t>
            </w:r>
          </w:p>
        </w:tc>
      </w:tr>
      <w:tr>
        <w:tc>
          <w:tcPr>
            <w:tcW w:type="dxa" w:w="1512"/>
            <w:tcMar>
              <w:top w:w="100" w:type="dxa"/>
              <w:left w:w="100" w:type="dxa"/>
              <w:bottom w:w="100" w:type="dxa"/>
              <w:right w:w="100" w:type="dxa"/>
            </w:tcMar>
          </w:tcPr>
          <w:p>
            <w:pPr>
              <w:jc w:val="center"/>
            </w:pPr>
            <w:r>
              <w:rPr>
                <w:rFonts w:ascii="Times New Roman" w:hAnsi="Times New Roman"/>
                <w:sz w:val="24"/>
              </w:rPr>
              <w:t>2</w:t>
            </w:r>
          </w:p>
        </w:tc>
        <w:tc>
          <w:tcPr>
            <w:tcW w:type="dxa" w:w="1512"/>
            <w:tcMar>
              <w:top w:w="100" w:type="dxa"/>
              <w:left w:w="100" w:type="dxa"/>
              <w:bottom w:w="100" w:type="dxa"/>
              <w:right w:w="100" w:type="dxa"/>
            </w:tcMar>
          </w:tcPr>
          <w:p>
            <w:pPr>
              <w:jc w:val="left"/>
            </w:pPr>
            <w:r>
              <w:rPr>
                <w:rFonts w:ascii="Times New Roman" w:hAnsi="Times New Roman"/>
                <w:b/>
                <w:sz w:val="24"/>
              </w:rPr>
              <w:t>Huỳnh Tâm Trí</w:t>
            </w:r>
          </w:p>
        </w:tc>
        <w:tc>
          <w:tcPr>
            <w:tcW w:type="dxa" w:w="1512"/>
            <w:tcMar>
              <w:top w:w="100" w:type="dxa"/>
              <w:left w:w="100" w:type="dxa"/>
              <w:bottom w:w="100" w:type="dxa"/>
              <w:right w:w="100" w:type="dxa"/>
            </w:tcMar>
          </w:tcPr>
          <w:p>
            <w:pPr>
              <w:jc w:val="center"/>
            </w:pPr>
            <w:r>
              <w:rPr>
                <w:rFonts w:ascii="Times New Roman" w:hAnsi="Times New Roman"/>
                <w:sz w:val="24"/>
              </w:rPr>
              <w:t>2045240315</w:t>
            </w:r>
          </w:p>
        </w:tc>
        <w:tc>
          <w:tcPr>
            <w:tcW w:type="dxa" w:w="1512"/>
            <w:tcMar>
              <w:top w:w="100" w:type="dxa"/>
              <w:left w:w="100" w:type="dxa"/>
              <w:bottom w:w="100" w:type="dxa"/>
              <w:right w:w="100" w:type="dxa"/>
            </w:tcMar>
          </w:tcPr>
          <w:p>
            <w:pPr>
              <w:jc w:val="center"/>
            </w:pPr>
            <w:r>
              <w:rPr>
                <w:rFonts w:ascii="Times New Roman" w:hAnsi="Times New Roman"/>
                <w:sz w:val="24"/>
              </w:rPr>
              <w:t>13DHTH</w:t>
            </w:r>
          </w:p>
        </w:tc>
        <w:tc>
          <w:tcPr>
            <w:tcW w:type="dxa" w:w="1512"/>
            <w:tcMar>
              <w:top w:w="100" w:type="dxa"/>
              <w:left w:w="100" w:type="dxa"/>
              <w:bottom w:w="100" w:type="dxa"/>
              <w:right w:w="100" w:type="dxa"/>
            </w:tcMar>
          </w:tcPr>
          <w:p>
            <w:pPr>
              <w:jc w:val="left"/>
            </w:pPr>
            <w:r>
              <w:rPr>
                <w:rFonts w:ascii="Times New Roman" w:hAnsi="Times New Roman"/>
                <w:sz w:val="24"/>
              </w:rPr>
              <w:t>Thành viên: Phụ trách thu thập &amp; chuẩn hóa dữ liệu TCGA-LGG và Ground Truth, mô-đun rút trích đặc trưng hình học (diện tích, độ tròn, Bounding Box), bộ đo định lượng y khoa (Dice, IoU, Sensitivity, Specificity), xây dựng Web Demo GUI Streamlit.</w:t>
            </w:r>
          </w:p>
        </w:tc>
        <w:tc>
          <w:tcPr>
            <w:tcW w:type="dxa" w:w="1512"/>
            <w:tcMar>
              <w:top w:w="100" w:type="dxa"/>
              <w:left w:w="100" w:type="dxa"/>
              <w:bottom w:w="100" w:type="dxa"/>
              <w:right w:w="100" w:type="dxa"/>
            </w:tcMar>
          </w:tcPr>
          <w:p>
            <w:pPr>
              <w:jc w:val="center"/>
            </w:pPr>
            <w:r>
              <w:rPr>
                <w:rFonts w:ascii="Times New Roman" w:hAnsi="Times New Roman"/>
                <w:sz w:val="24"/>
              </w:rPr>
              <w:t>50%</w:t>
            </w:r>
          </w:p>
        </w:tc>
      </w:tr>
    </w:tbl>
    <w:p>
      <w:pPr>
        <w:spacing w:before="120"/>
      </w:pPr>
    </w:p>
    <w:p>
      <w:pPr>
        <w:keepNext/>
        <w:spacing w:before="280" w:after="120" w:line="360" w:lineRule="auto"/>
      </w:pPr>
      <w:r>
        <w:rPr>
          <w:rFonts w:ascii="Times New Roman" w:hAnsi="Times New Roman"/>
          <w:b/>
          <w:i w:val="0"/>
          <w:sz w:val="26"/>
        </w:rPr>
        <w:t>MỤC LỤC BÁO CÁO</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1. GIỚI THIỆU ĐỀ TÀI: </w:t>
      </w:r>
      <w:r>
        <w:rPr>
          <w:rFonts w:ascii="Times New Roman" w:hAnsi="Times New Roman"/>
          <w:i w:val="0"/>
          <w:sz w:val="26"/>
        </w:rPr>
        <w:t>1.1. Bối cảnh thực tế &amp; Tính cấp thiết — 1.2. Mục tiêu — 1.3. Phạm vi</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2. CƠ SỞ LÝ THUYẾT XỬ LÝ ẢNH SỐ: </w:t>
      </w:r>
      <w:r>
        <w:rPr>
          <w:rFonts w:ascii="Times New Roman" w:hAnsi="Times New Roman"/>
          <w:i w:val="0"/>
          <w:sz w:val="26"/>
        </w:rPr>
        <w:t>2.1. Lọc Bilateral — 2.2. Hình thái học — 2.3. Watershed — 2.4. Region Growing — 2.5. Chỉ số y khoa</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3. MÔ TẢ TẬP DỮ LIỆU THỰC NGHIỆM (TCGA-LGG): </w:t>
      </w:r>
      <w:r>
        <w:rPr>
          <w:rFonts w:ascii="Times New Roman" w:hAnsi="Times New Roman"/>
          <w:i w:val="0"/>
          <w:sz w:val="26"/>
        </w:rPr>
        <w:t>3.1. Nguồn gốc dữ liệu — 3.2. Quy mô và phân bố kích thước u</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4. TIỀN XỬ LÝ &amp; KỸ THUẬT TÁCH SỌ NÃO (SKULL STRIPPING): </w:t>
      </w:r>
      <w:r>
        <w:rPr>
          <w:rFonts w:ascii="Times New Roman" w:hAnsi="Times New Roman"/>
          <w:i w:val="0"/>
          <w:sz w:val="26"/>
        </w:rPr>
        <w:t>4.1. Khử nhiễu &amp; CLAHE — 4.2. Quy trình 6 bước Tách sọ não hình thái học</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5. PHƯƠNG PHÁP VÀ QUY TRÌNH THỰC NGHIỆM: </w:t>
      </w:r>
      <w:r>
        <w:rPr>
          <w:rFonts w:ascii="Times New Roman" w:hAnsi="Times New Roman"/>
          <w:i w:val="0"/>
          <w:sz w:val="26"/>
        </w:rPr>
        <w:t>5.1. Phương án A: Watershed — 5.2. Phương án B: Region Growing — 5.3. Rút trích đặc trưng</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6. KẾT QUẢ VÀ ĐÁNH GIÁ ĐỊNH LƯỢNG: </w:t>
      </w:r>
      <w:r>
        <w:rPr>
          <w:rFonts w:ascii="Times New Roman" w:hAnsi="Times New Roman"/>
          <w:i w:val="0"/>
          <w:sz w:val="26"/>
        </w:rPr>
        <w:t>6.1. Bảng số liệu so sánh định lượng — 6.2. Phân tích ca thất bại (Failure Cases)</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7. CHƯƠNG TRÌNH MINH HỌA (DEMO GUI): </w:t>
      </w:r>
      <w:r>
        <w:rPr>
          <w:rFonts w:ascii="Times New Roman" w:hAnsi="Times New Roman"/>
          <w:i w:val="0"/>
          <w:sz w:val="26"/>
        </w:rPr>
        <w:t>7.1. Kiến trúc Streamlit Web GUI — 7.2. Giao diện chẩn đoán tương tác</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8. KẾT LUẬN VÀ HƯỚNG PHÁT TRIỂN: </w:t>
      </w:r>
      <w:r>
        <w:rPr>
          <w:rFonts w:ascii="Times New Roman" w:hAnsi="Times New Roman"/>
          <w:i w:val="0"/>
          <w:sz w:val="26"/>
        </w:rPr>
        <w:t>8.1. Kết quả đạt được — 8.2. Hạn chế và hướng mở rộng</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TÀI LIỆU THAM KHẢO: </w:t>
      </w:r>
      <w:r>
        <w:rPr>
          <w:rFonts w:ascii="Times New Roman" w:hAnsi="Times New Roman"/>
          <w:i w:val="0"/>
          <w:sz w:val="26"/>
        </w:rPr>
        <w:t>Giáo trình và công bố khoa học quốc tế</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PHỤ LỤC: </w:t>
      </w:r>
      <w:r>
        <w:rPr>
          <w:rFonts w:ascii="Times New Roman" w:hAnsi="Times New Roman"/>
          <w:i w:val="0"/>
          <w:sz w:val="26"/>
        </w:rPr>
        <w:t>Hướng dẫn cài đặt và thực thi mã nguồn tự động</w:t>
      </w:r>
    </w:p>
    <w:p>
      <w:r>
        <w:br w:type="page"/>
      </w:r>
    </w:p>
    <w:p>
      <w:pPr>
        <w:keepNext/>
        <w:spacing w:before="280" w:after="120" w:line="360" w:lineRule="auto"/>
      </w:pPr>
      <w:r>
        <w:rPr>
          <w:rFonts w:ascii="Times New Roman" w:hAnsi="Times New Roman"/>
          <w:b/>
          <w:i w:val="0"/>
          <w:sz w:val="26"/>
        </w:rPr>
        <w:t>1. GIỚI THIỆU ĐỀ TÀI</w:t>
      </w:r>
    </w:p>
    <w:p>
      <w:pPr>
        <w:keepNext/>
        <w:spacing w:before="200" w:after="80" w:line="360" w:lineRule="auto"/>
      </w:pPr>
      <w:r>
        <w:rPr>
          <w:rFonts w:ascii="Times New Roman" w:hAnsi="Times New Roman"/>
          <w:b/>
          <w:i w:val="0"/>
          <w:sz w:val="26"/>
        </w:rPr>
        <w:t>1.1. Bối cảnh thực tế &amp; Tính cấp thiết</w:t>
      </w:r>
    </w:p>
    <w:p>
      <w:pPr>
        <w:spacing w:line="360" w:lineRule="auto" w:after="120"/>
        <w:jc w:val="both"/>
      </w:pPr>
      <w:r>
        <w:rPr>
          <w:rFonts w:ascii="Times New Roman" w:hAnsi="Times New Roman"/>
          <w:i w:val="0"/>
          <w:sz w:val="26"/>
        </w:rPr>
        <w:t>Khối u não (Brain Tumor) là một trong những bệnh lý thần kinh nguy hiểm hàng đầu đe dọa trực tiếp đến tính mạng con người. Theo thống kê y tế quốc tế, các loại u tế bào thần kinh đệm (Glioma) chiếm tỷ lệ lớn trong các khối u nguyên phát ở não bộ và có tốc độ phát triển phức tạp. Việc phát hiện sớm, khoanh vùng chính xác tọa độ, đánh giá ranh giới xâm lấn và đo lường kích thước khối u đóng vai trò sống còn đối với việc lên phác đồ xạ trị, can thiệp phẫu thuật mở hộp sọ và theo dõi định kỳ tiến triển bệnh.</w:t>
      </w:r>
    </w:p>
    <w:p>
      <w:pPr>
        <w:spacing w:line="360" w:lineRule="auto" w:after="120"/>
        <w:jc w:val="both"/>
      </w:pPr>
      <w:r>
        <w:rPr>
          <w:rFonts w:ascii="Times New Roman" w:hAnsi="Times New Roman"/>
          <w:i w:val="0"/>
          <w:sz w:val="26"/>
        </w:rPr>
        <w:t>Ảnh cộng hưởng từ (Magnetic Resonance Imaging - MRI) là phương tiện chẩn đoán hình ảnh tiêu chuẩn vàng hiện nay nhờ ưu điểm vượt trội về độ phân giải mô mềm, không sử dụng bức xạ ion hóa nguy hại như cắt lớp vi tính (CT). Tuy nhiên, việc đọc ảnh và khoanh vùng thủ công từng lát cắt đối mặt với nhiều thách thức lớn: tốn nhiều giờ làm việc của bác sĩ chuyên khoa, áp lực quá tải bệnh viện, và tính chủ quan dẫn đến sai lệch giữa các bác sĩ chẩn đoán (inter-observer variability). Do đó, việc xây dựng một hệ thống phần mềm tự động phân đoạn và đo đạc kích thước u bằng các kỹ thuật Xử lý ảnh số (DIP) có ý nghĩa thực tiễn to lớn, mang tính cấp thiết khoa học và công nghệ cao.</w:t>
      </w:r>
    </w:p>
    <w:p>
      <w:pPr>
        <w:keepNext/>
        <w:spacing w:before="200" w:after="80" w:line="360" w:lineRule="auto"/>
      </w:pPr>
      <w:r>
        <w:rPr>
          <w:rFonts w:ascii="Times New Roman" w:hAnsi="Times New Roman"/>
          <w:b/>
          <w:i w:val="0"/>
          <w:sz w:val="26"/>
        </w:rPr>
        <w:t>1.2. Mục tiêu của đề tài</w:t>
      </w:r>
    </w:p>
    <w:p>
      <w:pPr>
        <w:spacing w:line="360" w:lineRule="auto" w:after="120"/>
        <w:jc w:val="both"/>
      </w:pPr>
      <w:r>
        <w:rPr>
          <w:rFonts w:ascii="Times New Roman" w:hAnsi="Times New Roman"/>
          <w:i w:val="0"/>
          <w:sz w:val="26"/>
        </w:rPr>
        <w:t>Đề tài tập trung giải quyết các mục tiêu khoa học và kỹ thuật cụ thể sau:</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Xây dựng pipeline xử lý ảnh số tự động, khép kín từ ảnh MRI sọ não 2D đầu vào dạng Grayscale (kích thước chuẩn 256x256 pixel).</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Nghiên cứu và cài đặt kỹ thuật Tách sọ não (Skull Stripping) kinh điển bằng hình thái học (Morphological Operations), loại bỏ 100% phần xương sọ dày đặc và da đầu có cường độ sáng gây nhiễu cho vùng u.</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Cài đặt và thực nghiệm đối chứng tối thiểu 02 phương án phân đoạn u lõi: Phương án A (Marker-controlled Watershed kết hợp Distance Transform) và Phương án B (Seeded Region Growing tự động dò tìm hạt giống cực đại cường độ).</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Tự động tính toán các thông số định lượng y khoa: diện tích u (pixel/mm²), tỷ lệ % diện tích u so với toàn bộ não bộ, và độ tròn Circularity để định lượng mức độ gồ ghề của bờ u; đồng thời tự động vẽ đường bao (Contour) và Hộp giới hạn (Bounding Box) màu đỏ cảnh báo vị trí u não.</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Đánh giá định lượng chặt chẽ độ chính xác phân đoạn so với mặt nạ chuyên gia y tế Ground Truth qua 4 chỉ số chuẩn: Dice Score (DSC), IoU (Jaccard Index), Độ nhạy (Sensitivity) và Độ đặc hiệu (Specificity).</w:t>
      </w:r>
    </w:p>
    <w:p>
      <w:pPr>
        <w:keepNext/>
        <w:spacing w:before="200" w:after="80" w:line="360" w:lineRule="auto"/>
      </w:pPr>
      <w:r>
        <w:rPr>
          <w:rFonts w:ascii="Times New Roman" w:hAnsi="Times New Roman"/>
          <w:b/>
          <w:i w:val="0"/>
          <w:sz w:val="26"/>
        </w:rPr>
        <w:t>1.3. Phạm vi &amp; Giới hạn của đề tài</w:t>
      </w:r>
    </w:p>
    <w:p>
      <w:pPr>
        <w:keepNext/>
        <w:spacing w:before="120" w:after="40" w:line="360" w:lineRule="auto"/>
      </w:pPr>
      <w:r>
        <w:rPr>
          <w:rFonts w:ascii="Times New Roman" w:hAnsi="Times New Roman"/>
          <w:b w:val="0"/>
          <w:i/>
          <w:sz w:val="26"/>
        </w:rPr>
        <w:t>1.3.1. Phạm vi nghiên cứu</w:t>
      </w:r>
    </w:p>
    <w:p>
      <w:pPr>
        <w:spacing w:line="360" w:lineRule="auto" w:after="120"/>
        <w:jc w:val="both"/>
      </w:pPr>
      <w:r>
        <w:rPr>
          <w:rFonts w:ascii="Times New Roman" w:hAnsi="Times New Roman"/>
          <w:i w:val="0"/>
          <w:sz w:val="26"/>
        </w:rPr>
        <w:t>Đề tài tập trung xử lý các lát cắt MRI sọ não 2D mặt phẳng cắt ngang (Axial plane), thuộc chuỗi xung T1 có tiêm chất tương phản từ (T1-CE: T1-weighted Contrast Enhanced) hoặc chuỗi xung FLAIR (Fluid-Attenuated Inversion Recovery), nơi khối u biểu hiện tăng cường độ sáng rõ nét.</w:t>
      </w:r>
    </w:p>
    <w:p>
      <w:pPr>
        <w:keepNext/>
        <w:spacing w:before="120" w:after="40" w:line="360" w:lineRule="auto"/>
      </w:pPr>
      <w:r>
        <w:rPr>
          <w:rFonts w:ascii="Times New Roman" w:hAnsi="Times New Roman"/>
          <w:b w:val="0"/>
          <w:i/>
          <w:sz w:val="26"/>
        </w:rPr>
        <w:t>1.3.2. Giới hạn kỹ thuật</w:t>
      </w:r>
    </w:p>
    <w:p>
      <w:pPr>
        <w:spacing w:line="360" w:lineRule="auto" w:after="120"/>
        <w:jc w:val="both"/>
      </w:pPr>
      <w:r>
        <w:rPr>
          <w:rFonts w:ascii="Times New Roman" w:hAnsi="Times New Roman"/>
          <w:i w:val="0"/>
          <w:sz w:val="26"/>
        </w:rPr>
        <w:t>Để tuân thủ nghiêm ngặt chuẩn mực đào tạo học phần Xử lý ảnh số (DIP), nhóm tập trung hoàn toàn vào các thuật toán xử lý ảnh kinh điển dựa trên toán học giải tích, hình học vi phân và hình thái học có khả năng giải trình minh bạch công thức, nói không với việc sử dụng mô hình học sâu (Deep Learning 'hộp đen') thiếu tính giải thích cơ chế.</w:t>
      </w:r>
    </w:p>
    <w:p>
      <w:pPr>
        <w:keepNext/>
        <w:spacing w:before="280" w:after="120" w:line="360" w:lineRule="auto"/>
      </w:pPr>
      <w:r>
        <w:rPr>
          <w:rFonts w:ascii="Times New Roman" w:hAnsi="Times New Roman"/>
          <w:b/>
          <w:i w:val="0"/>
          <w:sz w:val="26"/>
        </w:rPr>
        <w:t>2. CƠ SỞ LÝ THUYẾT XỬ LÝ ẢNH SỐ</w:t>
      </w:r>
    </w:p>
    <w:p>
      <w:pPr>
        <w:spacing w:line="360" w:lineRule="auto" w:after="120"/>
        <w:jc w:val="both"/>
      </w:pPr>
      <w:r>
        <w:rPr>
          <w:rFonts w:ascii="Times New Roman" w:hAnsi="Times New Roman"/>
          <w:i w:val="0"/>
          <w:sz w:val="26"/>
        </w:rPr>
        <w:t>Toàn bộ các giải thuật trong hệ thống được trích dẫn và triển khai chuẩn mực theo giáo trình Digital Image Processing (Rafael C. Gonzalez &amp; Richard E. Woods, 4th Edition, Pearson, 2018):</w:t>
      </w:r>
    </w:p>
    <w:p>
      <w:pPr>
        <w:keepNext/>
        <w:spacing w:before="200" w:after="80" w:line="360" w:lineRule="auto"/>
      </w:pPr>
      <w:r>
        <w:rPr>
          <w:rFonts w:ascii="Times New Roman" w:hAnsi="Times New Roman"/>
          <w:b/>
          <w:i w:val="0"/>
          <w:sz w:val="26"/>
        </w:rPr>
        <w:t>2.1. Phép lọc phi tuyến bảo toàn biên (Bilateral Filter)</w:t>
      </w:r>
    </w:p>
    <w:p>
      <w:pPr>
        <w:spacing w:line="360" w:lineRule="auto" w:after="120"/>
        <w:jc w:val="both"/>
      </w:pPr>
      <w:r>
        <w:rPr>
          <w:rFonts w:ascii="Times New Roman" w:hAnsi="Times New Roman"/>
          <w:i w:val="0"/>
          <w:sz w:val="26"/>
        </w:rPr>
        <w:t>Ảnh MRI thường bị suy giảm chất lượng bởi nhiễu Rician sinh ra từ quá trình chuyển đổi tín hiệu tần số sóng vô tuyến (RF). Phép lọc Gauss thông thường làm mờ nhiễu đồng thời làm nhòe luôn đường biên sắc nét của khối u. Phép lọc phi tuyến Bilateral giải quyết hoàn hảo bài toán này bằng cách kết hợp cả khoảng cách không gian (Spatial Domain) và chênh lệch cường độ xám (Range Domain):</w:t>
      </w:r>
    </w:p>
    <w:p>
      <w:pPr>
        <w:spacing w:before="80" w:after="120" w:line="360" w:lineRule="auto"/>
        <w:jc w:val="center"/>
      </w:pPr>
      <m:oMath>
        <m:sSup>
          <m:e>
            <m:r>
              <m:t>I</m:t>
            </m:r>
          </m:e>
          <m:sup>
            <m:r>
              <m:rPr>
                <m:nor/>
              </m:rPr>
              <m:t>filtered</m:t>
            </m:r>
          </m:sup>
        </m:sSup>
        <m:r>
          <m:t>(p)=</m:t>
        </m:r>
        <m:f>
          <m:fPr>
            <m:type m:val="bar"/>
          </m:fPr>
          <m:num>
            <m:r>
              <m:t>1</m:t>
            </m:r>
          </m:num>
          <m:den>
            <m:sSub>
              <m:e>
                <m:r>
                  <m:t>W</m:t>
                </m:r>
              </m:e>
              <m:sub>
                <m:r>
                  <m:t>p</m:t>
                </m:r>
              </m:sub>
            </m:sSub>
          </m:den>
        </m:f>
        <m:nary>
          <m:naryPr>
            <m:chr m:val="∑"/>
            <m:limLoc m:val="subSup"/>
            <m:grow m:val="1"/>
            <m:subHide m:val="off"/>
            <m:supHide m:val="on"/>
          </m:naryPr>
          <m:sub>
            <m:r>
              <m:t>q∈S</m:t>
            </m:r>
          </m:sub>
          <m:sup/>
          <m:e>
            <m:r>
              <m:t>I(q)·</m:t>
            </m:r>
          </m:e>
        </m:nary>
        <m:sSub>
          <m:e>
            <m:r>
              <m:t>G</m:t>
            </m:r>
          </m:e>
          <m:sub>
            <m:sSub>
              <m:e>
                <m:r>
                  <m:t>σ</m:t>
                </m:r>
              </m:e>
              <m:sub>
                <m:r>
                  <m:t>s</m:t>
                </m:r>
              </m:sub>
            </m:sSub>
          </m:sub>
        </m:sSub>
        <m:r>
          <m:t>(‖p−q‖)·</m:t>
        </m:r>
        <m:sSub>
          <m:e>
            <m:r>
              <m:t>G</m:t>
            </m:r>
          </m:e>
          <m:sub>
            <m:sSub>
              <m:e>
                <m:r>
                  <m:t>σ</m:t>
                </m:r>
              </m:e>
              <m:sub>
                <m:r>
                  <m:t>r</m:t>
                </m:r>
              </m:sub>
            </m:sSub>
          </m:sub>
        </m:sSub>
        <m:r>
          <m:t>(|I(p)−I(q)|)</m:t>
        </m:r>
      </m:oMath>
      <w:r>
        <w:rPr>
          <w:rFonts w:ascii="Times New Roman" w:hAnsi="Times New Roman"/>
          <w:sz w:val="26"/>
        </w:rPr>
        <w:t xml:space="preserve">    (CT 2.1)</w:t>
      </w:r>
    </w:p>
    <w:p>
      <w:pPr>
        <w:spacing w:line="360" w:lineRule="auto" w:after="120"/>
        <w:jc w:val="both"/>
      </w:pPr>
      <w:r>
        <w:rPr>
          <w:rFonts w:ascii="Times New Roman" w:hAnsi="Times New Roman"/>
          <w:i w:val="0"/>
          <w:sz w:val="26"/>
        </w:rPr>
        <w:t>Trong đó, G_σs là trọng số không gian Gaussian đánh giá khoảng cách vật lý giữa hai điểm ảnh p và q; G_σr là trọng số khoảng giá trị Gaussian đánh giá mức độ đồng nhất về mức xám; W_p là hệ số chuẩn hóa tổng trọng số bằng 1. Nhờ đó, tại các vùng biên u có chênh lệch mức xám lớn, trọng số G_σr triệt tiêu về 0, bảo toàn tuyệt đối độ sắc nét của bờ u.</w:t>
      </w:r>
    </w:p>
    <w:p>
      <w:pPr>
        <w:keepNext/>
        <w:spacing w:before="200" w:after="80" w:line="360" w:lineRule="auto"/>
      </w:pPr>
      <w:r>
        <w:rPr>
          <w:rFonts w:ascii="Times New Roman" w:hAnsi="Times New Roman"/>
          <w:b/>
          <w:i w:val="0"/>
          <w:sz w:val="26"/>
        </w:rPr>
        <w:t>2.2. Phép toán hình thái học (Mathematical Morphology)</w:t>
      </w:r>
    </w:p>
    <w:p>
      <w:pPr>
        <w:spacing w:line="360" w:lineRule="auto" w:after="120"/>
        <w:jc w:val="both"/>
      </w:pPr>
      <w:r>
        <w:rPr>
          <w:rFonts w:ascii="Times New Roman" w:hAnsi="Times New Roman"/>
          <w:i w:val="0"/>
          <w:sz w:val="26"/>
        </w:rPr>
        <w:t>Hình thái học toán học trên tập hợp nhị phân dựa trên hai phép toán nguyên thủy là phép co (Erosion ⊖) và phép giãn (Dilation ⊕) với phần tử cấu trúc B (Structuring Element):</w:t>
      </w:r>
    </w:p>
    <w:p>
      <w:pPr>
        <w:keepNext/>
        <w:spacing w:before="120" w:after="40" w:line="360" w:lineRule="auto"/>
      </w:pPr>
      <w:r>
        <w:rPr>
          <w:rFonts w:ascii="Times New Roman" w:hAnsi="Times New Roman"/>
          <w:b w:val="0"/>
          <w:i/>
          <w:sz w:val="26"/>
        </w:rPr>
        <w:t>2.2.1. Phép mở hình thái học (Morphological Opening)</w:t>
      </w:r>
    </w:p>
    <w:p>
      <w:pPr>
        <w:spacing w:line="360" w:lineRule="auto" w:after="120"/>
        <w:jc w:val="both"/>
      </w:pPr>
      <w:r>
        <w:rPr>
          <w:rFonts w:ascii="Times New Roman" w:hAnsi="Times New Roman"/>
          <w:i w:val="0"/>
          <w:sz w:val="26"/>
        </w:rPr>
        <w:t>Phép mở là sự kết hợp tuần tự của phép co theo sau bởi phép giãn: A ∘ B = (A ⊖ B) ⊕ B. Tác dụng chính là loại bỏ các đốm nhiễu li ti, bào mòn các phần lồi hẹp và đặc biệt là cắt đứt các cầu nối mô mỏng giữa xương sọ và nhu mô não.</w:t>
      </w:r>
    </w:p>
    <w:p>
      <w:pPr>
        <w:keepNext/>
        <w:spacing w:before="120" w:after="40" w:line="360" w:lineRule="auto"/>
      </w:pPr>
      <w:r>
        <w:rPr>
          <w:rFonts w:ascii="Times New Roman" w:hAnsi="Times New Roman"/>
          <w:b w:val="0"/>
          <w:i/>
          <w:sz w:val="26"/>
        </w:rPr>
        <w:t>2.2.2. Phép đóng hình thái học (Morphological Closing)</w:t>
      </w:r>
    </w:p>
    <w:p>
      <w:pPr>
        <w:spacing w:line="360" w:lineRule="auto" w:after="120"/>
        <w:jc w:val="both"/>
      </w:pPr>
      <w:r>
        <w:rPr>
          <w:rFonts w:ascii="Times New Roman" w:hAnsi="Times New Roman"/>
          <w:i w:val="0"/>
          <w:sz w:val="26"/>
        </w:rPr>
        <w:t>Phép đóng là phép giãn theo sau bởi phép co: A • B = (A ⊕ B) ⊖ B. Tác dụng là lấp đầy các khe rãnh nhỏ, nối liền các đoạn đứt gãy và làm mịn đường biên ngoài của vật thể.</w:t>
      </w:r>
    </w:p>
    <w:p>
      <w:pPr>
        <w:keepNext/>
        <w:spacing w:before="120" w:after="40" w:line="360" w:lineRule="auto"/>
      </w:pPr>
      <w:r>
        <w:rPr>
          <w:rFonts w:ascii="Times New Roman" w:hAnsi="Times New Roman"/>
          <w:b w:val="0"/>
          <w:i/>
          <w:sz w:val="26"/>
        </w:rPr>
        <w:t>2.2.3. Lấp đầy lỗ hổng (Hole Filling / Reconstruction)</w:t>
      </w:r>
    </w:p>
    <w:p>
      <w:pPr>
        <w:spacing w:line="360" w:lineRule="auto" w:after="120"/>
        <w:jc w:val="both"/>
      </w:pPr>
      <w:r>
        <w:rPr>
          <w:rFonts w:ascii="Times New Roman" w:hAnsi="Times New Roman"/>
          <w:i w:val="0"/>
          <w:sz w:val="26"/>
        </w:rPr>
        <w:t>Sử dụng thuật toán FloodFill từ điểm biên ngoài (0, 0) để tìm vùng nền ngoài sọ, sau đó đảo ngược nhị phân để lấp đầy toàn bộ các vùng khuyết tật bên trong não (như hệ thống não thất chứa dịch não tủy CSF).</w:t>
      </w:r>
    </w:p>
    <w:p>
      <w:pPr>
        <w:keepNext/>
        <w:spacing w:before="200" w:after="80" w:line="360" w:lineRule="auto"/>
      </w:pPr>
      <w:r>
        <w:rPr>
          <w:rFonts w:ascii="Times New Roman" w:hAnsi="Times New Roman"/>
          <w:b/>
          <w:i w:val="0"/>
          <w:sz w:val="26"/>
        </w:rPr>
        <w:t>2.3. Giải thuật phân thủy Watershed (Marker-controlled Watershed)</w:t>
      </w:r>
    </w:p>
    <w:p>
      <w:pPr>
        <w:spacing w:line="360" w:lineRule="auto" w:after="120"/>
        <w:jc w:val="both"/>
      </w:pPr>
      <w:r>
        <w:rPr>
          <w:rFonts w:ascii="Times New Roman" w:hAnsi="Times New Roman"/>
          <w:i w:val="0"/>
          <w:sz w:val="26"/>
        </w:rPr>
        <w:t>Giải thuật Watershed xem bức ảnh độ dốc cường độ như một địa hình địa lý topo, trong đó pixel sáng đại diện cho các đỉnh núi (ridges) và pixel tối đại diện cho các thung lũng (catchment basins). Quá trình 'ngập nước' sẽ xây dựng các con đập ngăn nước giao nhau, tạo thành đường biên phân đoạn.</w:t>
      </w:r>
    </w:p>
    <w:p>
      <w:pPr>
        <w:spacing w:line="360" w:lineRule="auto" w:after="120"/>
        <w:jc w:val="both"/>
      </w:pPr>
      <w:r>
        <w:rPr>
          <w:rFonts w:ascii="Times New Roman" w:hAnsi="Times New Roman"/>
          <w:i w:val="0"/>
          <w:sz w:val="26"/>
        </w:rPr>
        <w:t>Để khắc phục triệt để hiện tượng phân đoạn quá mức (Over-segmentation) do nhiễu hạt gây ra vô số cực tiểu cục bộ, giải thuật Marker-controlled Watershed áp dụng biến đổi khoảng cách Euclidean (Euclidean Distance Transform - EDT):</w:t>
      </w:r>
    </w:p>
    <w:p>
      <w:pPr>
        <w:spacing w:before="80" w:after="120" w:line="360" w:lineRule="auto"/>
        <w:jc w:val="center"/>
      </w:pPr>
      <m:oMath>
        <m:r>
          <m:t>D(p)=</m:t>
        </m:r>
        <m:sSub>
          <m:e>
            <m:r>
              <m:t>min</m:t>
            </m:r>
          </m:e>
          <m:sub>
            <m:r>
              <m:t>q∈</m:t>
            </m:r>
            <m:r>
              <m:rPr>
                <m:nor/>
              </m:rPr>
              <m:t>Background</m:t>
            </m:r>
          </m:sub>
        </m:sSub>
        <m:r>
          <m:t>‖p−q</m:t>
        </m:r>
        <m:sSub>
          <m:e>
            <m:r>
              <m:t>‖</m:t>
            </m:r>
          </m:e>
          <m:sub>
            <m:r>
              <m:t>2</m:t>
            </m:r>
          </m:sub>
        </m:sSub>
      </m:oMath>
      <w:r>
        <w:rPr>
          <w:rFonts w:ascii="Times New Roman" w:hAnsi="Times New Roman"/>
          <w:sz w:val="26"/>
        </w:rPr>
        <w:t xml:space="preserve">    (CT 2.2)</w:t>
      </w:r>
    </w:p>
    <w:p>
      <w:pPr>
        <w:spacing w:line="360" w:lineRule="auto" w:after="120"/>
        <w:jc w:val="both"/>
      </w:pPr>
      <w:r>
        <w:rPr>
          <w:rFonts w:ascii="Times New Roman" w:hAnsi="Times New Roman"/>
          <w:i w:val="0"/>
          <w:sz w:val="26"/>
        </w:rPr>
        <w:t>Bằng cách ngưỡng hóa trên bản đồ khoảng cách D(p) tại ngưỡng 0.5 * max(D), ta thu được điểm đánh dấu chắc chắn là tiền ảnh (Sure Foreground). Phép giãn hình thái học thu được vùng chắc chắn là hậu cảnh (Sure Background). Vùng tranh chấp nằm ở giữa sẽ được giải thuật Watershed gán nhãn chính xác tuyệt đối.</w:t>
      </w:r>
    </w:p>
    <w:p>
      <w:pPr>
        <w:keepNext/>
        <w:spacing w:before="200" w:after="80" w:line="360" w:lineRule="auto"/>
      </w:pPr>
      <w:r>
        <w:rPr>
          <w:rFonts w:ascii="Times New Roman" w:hAnsi="Times New Roman"/>
          <w:b/>
          <w:i w:val="0"/>
          <w:sz w:val="26"/>
        </w:rPr>
        <w:t>2.4. Giải thuật phát triển vùng từ hạt giống (Seeded Region Growing)</w:t>
      </w:r>
    </w:p>
    <w:p>
      <w:pPr>
        <w:spacing w:line="360" w:lineRule="auto" w:after="120"/>
        <w:jc w:val="both"/>
      </w:pPr>
      <w:r>
        <w:rPr>
          <w:rFonts w:ascii="Times New Roman" w:hAnsi="Times New Roman"/>
          <w:i w:val="0"/>
          <w:sz w:val="26"/>
        </w:rPr>
        <w:t>Giải thuật phát triển vùng bắt đầu từ một hoặc nhiều điểm hạt giống ban đầu (Seed Points). Tại mỗi bước lặp, các điểm ảnh láng giềng 8 hướng chưa được gắn nhãn sẽ được kiểm tra theo điều kiện tương đồng cường độ:</w:t>
      </w:r>
    </w:p>
    <w:p>
      <w:pPr>
        <w:spacing w:before="80" w:after="120" w:line="360" w:lineRule="auto"/>
        <w:jc w:val="center"/>
      </w:pPr>
      <m:oMath>
        <m:r>
          <m:t>|I(q)−I(</m:t>
        </m:r>
        <m:r>
          <m:rPr>
            <m:nor/>
          </m:rPr>
          <m:t>Seed</m:t>
        </m:r>
        <m:r>
          <m:t>)|≤</m:t>
        </m:r>
        <m:r>
          <m:rPr>
            <m:nor/>
          </m:rPr>
          <m:t>tolerance</m:t>
        </m:r>
      </m:oMath>
      <w:r>
        <w:rPr>
          <w:rFonts w:ascii="Times New Roman" w:hAnsi="Times New Roman"/>
          <w:sz w:val="26"/>
        </w:rPr>
        <w:t xml:space="preserve">    (CT 2.3)</w:t>
      </w:r>
    </w:p>
    <w:p>
      <w:pPr>
        <w:spacing w:line="360" w:lineRule="auto" w:after="120"/>
        <w:jc w:val="both"/>
      </w:pPr>
      <w:r>
        <w:rPr>
          <w:rFonts w:ascii="Times New Roman" w:hAnsi="Times New Roman"/>
          <w:i w:val="0"/>
          <w:sz w:val="26"/>
        </w:rPr>
        <w:t>Nếu thỏa mãn ngưỡng dung sai (tolerance), điểm ảnh q sẽ được kết nạp vào vùng u và trở thành điểm mở rộng tiếp theo. Thuật toán dừng lại khi không còn điểm ảnh láng giềng nào thỏa mãn tiêu chuẩn thu nạp.</w:t>
      </w:r>
    </w:p>
    <w:p>
      <w:pPr>
        <w:keepNext/>
        <w:spacing w:before="200" w:after="80" w:line="360" w:lineRule="auto"/>
      </w:pPr>
      <w:r>
        <w:rPr>
          <w:rFonts w:ascii="Times New Roman" w:hAnsi="Times New Roman"/>
          <w:b/>
          <w:i w:val="0"/>
          <w:sz w:val="26"/>
        </w:rPr>
        <w:t>2.5. Các chỉ số đánh giá định lượng y khoa chuẩn quốc tế</w:t>
      </w:r>
    </w:p>
    <w:p>
      <w:pPr>
        <w:spacing w:line="360" w:lineRule="auto" w:after="120"/>
        <w:jc w:val="both"/>
      </w:pPr>
      <w:r>
        <w:rPr>
          <w:rFonts w:ascii="Times New Roman" w:hAnsi="Times New Roman"/>
          <w:i w:val="0"/>
          <w:sz w:val="26"/>
        </w:rPr>
        <w:t>Để đánh giá chất lượng phân đoạn một cách khách quan so với mặt nạ Ground Truth (G) do bác sĩ chuyên khoa gắn nhãn, hệ thống áp dụng 4 chỉ số thống kê y sinh học chuẩn mực quốc tế:</w:t>
      </w:r>
    </w:p>
    <w:p>
      <w:pPr>
        <w:spacing w:before="80" w:after="120" w:line="360" w:lineRule="auto"/>
        <w:jc w:val="center"/>
      </w:pPr>
      <m:oMath>
        <m:r>
          <m:rPr>
            <m:nor/>
          </m:rPr>
          <m:t>Dice</m:t>
        </m:r>
        <m:r>
          <m:t>=</m:t>
        </m:r>
        <m:f>
          <m:fPr>
            <m:type m:val="bar"/>
          </m:fPr>
          <m:num>
            <m:r>
              <m:t>2|P∩G|</m:t>
            </m:r>
          </m:num>
          <m:den>
            <m:d>
              <m:dPr>
                <m:begChr m:val="|"/>
                <m:sepChr m:val=""/>
                <m:endChr m:val="|"/>
              </m:dPr>
              <m:e>
                <m:r>
                  <m:t>P</m:t>
                </m:r>
                <m:r>
                  <m:t>|</m:t>
                </m:r>
                <m:r>
                  <m:t>+</m:t>
                </m:r>
                <m:r>
                  <m:t>|</m:t>
                </m:r>
                <m:r>
                  <m:t>G</m:t>
                </m:r>
              </m:e>
            </m:d>
          </m:den>
        </m:f>
        <m:r>
          <m:t>=</m:t>
        </m:r>
        <m:f>
          <m:fPr>
            <m:type m:val="bar"/>
          </m:fPr>
          <m:num>
            <m:r>
              <m:t>2</m:t>
            </m:r>
            <m:r>
              <m:rPr>
                <m:nor/>
              </m:rPr>
              <m:t>TP</m:t>
            </m:r>
          </m:num>
          <m:den>
            <m:r>
              <m:t>2</m:t>
            </m:r>
            <m:r>
              <m:rPr>
                <m:nor/>
              </m:rPr>
              <m:t>TP</m:t>
            </m:r>
            <m:r>
              <m:t>+</m:t>
            </m:r>
            <m:r>
              <m:rPr>
                <m:nor/>
              </m:rPr>
              <m:t>FP</m:t>
            </m:r>
            <m:r>
              <m:t>+</m:t>
            </m:r>
            <m:r>
              <m:rPr>
                <m:nor/>
              </m:rPr>
              <m:t>FN</m:t>
            </m:r>
          </m:den>
        </m:f>
      </m:oMath>
      <w:r>
        <w:rPr>
          <w:rFonts w:ascii="Times New Roman" w:hAnsi="Times New Roman"/>
          <w:sz w:val="26"/>
        </w:rPr>
        <w:t xml:space="preserve">    (CT 2.4)</w:t>
      </w:r>
    </w:p>
    <w:p>
      <w:pPr>
        <w:spacing w:before="80" w:after="120" w:line="360" w:lineRule="auto"/>
        <w:jc w:val="center"/>
      </w:pPr>
      <m:oMath>
        <m:r>
          <m:rPr>
            <m:nor/>
          </m:rPr>
          <m:t>IoU</m:t>
        </m:r>
        <m:r>
          <m:t>=</m:t>
        </m:r>
        <m:f>
          <m:fPr>
            <m:type m:val="bar"/>
          </m:fPr>
          <m:num>
            <m:d>
              <m:dPr>
                <m:begChr m:val="|"/>
                <m:sepChr m:val="∩"/>
                <m:endChr m:val="|"/>
              </m:dPr>
              <m:e>
                <m:r>
                  <m:t>P</m:t>
                </m:r>
              </m:e>
              <m:e>
                <m:r>
                  <m:t>G</m:t>
                </m:r>
              </m:e>
            </m:d>
          </m:num>
          <m:den>
            <m:d>
              <m:dPr>
                <m:begChr m:val="|"/>
                <m:sepChr m:val="∪"/>
                <m:endChr m:val="|"/>
              </m:dPr>
              <m:e>
                <m:r>
                  <m:t>P</m:t>
                </m:r>
              </m:e>
              <m:e>
                <m:r>
                  <m:t>G</m:t>
                </m:r>
              </m:e>
            </m:d>
          </m:den>
        </m:f>
        <m:r>
          <m:t>=</m:t>
        </m:r>
        <m:f>
          <m:fPr>
            <m:type m:val="bar"/>
          </m:fPr>
          <m:num>
            <m:r>
              <m:rPr>
                <m:nor/>
              </m:rPr>
              <m:t>TP</m:t>
            </m:r>
          </m:num>
          <m:den>
            <m:r>
              <m:rPr>
                <m:nor/>
              </m:rPr>
              <m:t>TP</m:t>
            </m:r>
            <m:r>
              <m:t>+</m:t>
            </m:r>
            <m:r>
              <m:rPr>
                <m:nor/>
              </m:rPr>
              <m:t>FP</m:t>
            </m:r>
            <m:r>
              <m:t>+</m:t>
            </m:r>
            <m:r>
              <m:rPr>
                <m:nor/>
              </m:rPr>
              <m:t>FN</m:t>
            </m:r>
          </m:den>
        </m:f>
        <m:r>
          <m:t>=</m:t>
        </m:r>
        <m:f>
          <m:fPr>
            <m:type m:val="bar"/>
          </m:fPr>
          <m:num>
            <m:r>
              <m:rPr>
                <m:nor/>
              </m:rPr>
              <m:t>Dice</m:t>
            </m:r>
          </m:num>
          <m:den>
            <m:r>
              <m:t>2−</m:t>
            </m:r>
            <m:r>
              <m:rPr>
                <m:nor/>
              </m:rPr>
              <m:t>Dice</m:t>
            </m:r>
          </m:den>
        </m:f>
      </m:oMath>
      <w:r>
        <w:rPr>
          <w:rFonts w:ascii="Times New Roman" w:hAnsi="Times New Roman"/>
          <w:sz w:val="26"/>
        </w:rPr>
        <w:t xml:space="preserve">    (CT 2.5)</w:t>
      </w:r>
    </w:p>
    <w:p>
      <w:pPr>
        <w:spacing w:before="80" w:after="120" w:line="360" w:lineRule="auto"/>
        <w:jc w:val="center"/>
      </w:pPr>
      <m:oMath>
        <m:r>
          <m:rPr>
            <m:nor/>
          </m:rPr>
          <m:t>Sensitivity</m:t>
        </m:r>
        <m:r>
          <m:t>=</m:t>
        </m:r>
        <m:f>
          <m:fPr>
            <m:type m:val="bar"/>
          </m:fPr>
          <m:num>
            <m:r>
              <m:rPr>
                <m:nor/>
              </m:rPr>
              <m:t>TP</m:t>
            </m:r>
          </m:num>
          <m:den>
            <m:r>
              <m:rPr>
                <m:nor/>
              </m:rPr>
              <m:t>TP</m:t>
            </m:r>
            <m:r>
              <m:t>+</m:t>
            </m:r>
            <m:r>
              <m:rPr>
                <m:nor/>
              </m:rPr>
              <m:t>FN</m:t>
            </m:r>
          </m:den>
        </m:f>
        <m:r>
          <m:t>,</m:t>
        </m:r>
        <m:r>
          <m:rPr>
            <m:nor/>
          </m:rPr>
          <m:t>Specificity</m:t>
        </m:r>
        <m:r>
          <m:t>=</m:t>
        </m:r>
        <m:f>
          <m:fPr>
            <m:type m:val="bar"/>
          </m:fPr>
          <m:num>
            <m:r>
              <m:rPr>
                <m:nor/>
              </m:rPr>
              <m:t>TN</m:t>
            </m:r>
          </m:num>
          <m:den>
            <m:r>
              <m:rPr>
                <m:nor/>
              </m:rPr>
              <m:t>TN</m:t>
            </m:r>
            <m:r>
              <m:t>+</m:t>
            </m:r>
            <m:r>
              <m:rPr>
                <m:nor/>
              </m:rPr>
              <m:t>FP</m:t>
            </m:r>
          </m:den>
        </m:f>
      </m:oMath>
      <w:r>
        <w:rPr>
          <w:rFonts w:ascii="Times New Roman" w:hAnsi="Times New Roman"/>
          <w:sz w:val="26"/>
        </w:rPr>
        <w:t xml:space="preserve">    (CT 2.6)</w:t>
      </w:r>
    </w:p>
    <w:p>
      <w:pPr>
        <w:spacing w:line="360" w:lineRule="auto" w:after="120"/>
        <w:jc w:val="both"/>
      </w:pPr>
      <w:r>
        <w:rPr>
          <w:rFonts w:ascii="Times New Roman" w:hAnsi="Times New Roman"/>
          <w:i w:val="0"/>
          <w:sz w:val="26"/>
        </w:rPr>
        <w:t>Trong đó: TP (True Positive) là số pixel u được phát hiện đúng; FP (False Positive) là pixel mô não lành bị nhận nhầm là u; FN (False Negative) là pixel u bị bỏ sót; TN (True Negative) là pixel nền não lành được nhận diện chính xác.</w:t>
      </w:r>
    </w:p>
    <w:p>
      <w:pPr>
        <w:keepNext/>
        <w:spacing w:before="280" w:after="120" w:line="360" w:lineRule="auto"/>
      </w:pPr>
      <w:r>
        <w:rPr>
          <w:rFonts w:ascii="Times New Roman" w:hAnsi="Times New Roman"/>
          <w:b/>
          <w:i w:val="0"/>
          <w:sz w:val="26"/>
        </w:rPr>
        <w:t>3. MÔ TẢ TẬP DỮ LIỆU THỰC NGHIỆM (TCGA-LGG)</w:t>
      </w:r>
    </w:p>
    <w:p>
      <w:pPr>
        <w:keepNext/>
        <w:spacing w:before="200" w:after="80" w:line="360" w:lineRule="auto"/>
      </w:pPr>
      <w:r>
        <w:rPr>
          <w:rFonts w:ascii="Times New Roman" w:hAnsi="Times New Roman"/>
          <w:b/>
          <w:i w:val="0"/>
          <w:sz w:val="26"/>
        </w:rPr>
        <w:t>3.1. Nguồn gốc dữ liệu &amp; Các liên kết trực tiếp</w:t>
      </w:r>
    </w:p>
    <w:p>
      <w:pPr>
        <w:spacing w:line="360" w:lineRule="auto" w:after="120"/>
        <w:jc w:val="both"/>
      </w:pPr>
      <w:r>
        <w:rPr>
          <w:rFonts w:ascii="Times New Roman" w:hAnsi="Times New Roman"/>
          <w:i w:val="0"/>
          <w:sz w:val="26"/>
        </w:rPr>
        <w:t>Nghiên cứu sử dụng tập dữ liệu ảnh MRI cộng hưởng từ não bộ công khai trích xuất từ dự án The Cancer Genome Atlas Low-Grade Glioma (TCGA-LGG), được công bố quốc tế bởi Buda et al. (2019) trên tạp chí Computers in Biology and Medicine. Dữ liệu bao gồm các chuỗi ảnh chụp cắt lát não bộ của các bệnh nhân u tế bào thần kinh đệm mức độ thấp (Lower-Grade Glioma), kèm theo mặt nạ phân đoạn nhị phân (Ground Truth Mask) được các chuyên gia giải phẫu bệnh và chẩn đoán hình ảnh khoanh vùng thủ công.</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 Nguồn chính thức (Hugging Face): </w:t>
      </w:r>
      <w:r>
        <w:rPr>
          <w:rFonts w:ascii="Times New Roman" w:hAnsi="Times New Roman"/>
          <w:i w:val="0"/>
          <w:sz w:val="26"/>
        </w:rPr>
        <w:t>Hugging Face Datasets (Nguồn dữ liệu chính thức của Đồ án - Kho chuẩn 3,929 ảnh tích hợp trong script download_sample_data.py): https://huggingface.co/datasets/Ehsan-rmz/lgg-mri-segmentation-research</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 Kho đối chứng (Kaggle): </w:t>
      </w:r>
      <w:r>
        <w:rPr>
          <w:rFonts w:ascii="Times New Roman" w:hAnsi="Times New Roman"/>
          <w:i w:val="0"/>
          <w:sz w:val="26"/>
        </w:rPr>
        <w:t>Kaggle Dataset (Kho dữ liệu benchmark gốc của Mateusz Buda phục vụ đối chứng): https://www.kaggle.com/datasets/mateuszbuda/lgg-mri-segmentation</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 Kho lưu trữ gốc TCIA (NIH): </w:t>
      </w:r>
      <w:r>
        <w:rPr>
          <w:rFonts w:ascii="Times New Roman" w:hAnsi="Times New Roman"/>
          <w:i w:val="0"/>
          <w:sz w:val="26"/>
        </w:rPr>
        <w:t>The Cancer Imaging Archive (TCIA) - Viện Ung thư Quốc gia Hoa Kỳ (NIH/NCI): https://wiki.cancerimagingarchive.net/display/Public/TCGA-LGG</w:t>
      </w:r>
    </w:p>
    <w:p>
      <w:pPr>
        <w:spacing w:line="360" w:lineRule="auto" w:after="120"/>
        <w:ind w:left="425"/>
        <w:jc w:val="both"/>
      </w:pPr>
      <w:r>
        <w:rPr>
          <w:rFonts w:ascii="Times New Roman" w:hAnsi="Times New Roman"/>
          <w:b/>
          <w:sz w:val="26"/>
        </w:rPr>
        <w:t xml:space="preserve">• </w:t>
      </w:r>
      <w:r>
        <w:rPr>
          <w:rFonts w:ascii="Times New Roman" w:hAnsi="Times New Roman"/>
          <w:b/>
          <w:sz w:val="26"/>
        </w:rPr>
        <w:t xml:space="preserve">• GitHub tác giả bài báo: </w:t>
      </w:r>
      <w:r>
        <w:rPr>
          <w:rFonts w:ascii="Times New Roman" w:hAnsi="Times New Roman"/>
          <w:i w:val="0"/>
          <w:sz w:val="26"/>
        </w:rPr>
        <w:t>Mã nguồn gốc &amp; Mô hình của nhóm tác giả (Mateusz Buda): https://github.com/mateuszbuda/brain-segmentation-pytorch</w:t>
      </w:r>
    </w:p>
    <w:p>
      <w:pPr>
        <w:keepNext/>
        <w:spacing w:before="200" w:after="80" w:line="360" w:lineRule="auto"/>
      </w:pPr>
      <w:r>
        <w:rPr>
          <w:rFonts w:ascii="Times New Roman" w:hAnsi="Times New Roman"/>
          <w:b/>
          <w:i w:val="0"/>
          <w:sz w:val="26"/>
        </w:rPr>
        <w:t>3.2. Cấu trúc và Phân bố tập mẫu thực nghiệm</w:t>
      </w:r>
    </w:p>
    <w:p>
      <w:pPr>
        <w:spacing w:line="360" w:lineRule="auto" w:after="120"/>
        <w:jc w:val="both"/>
      </w:pPr>
      <w:r>
        <w:rPr>
          <w:rFonts w:ascii="Times New Roman" w:hAnsi="Times New Roman"/>
          <w:i w:val="0"/>
          <w:sz w:val="26"/>
        </w:rPr>
        <w:t>Tập mẫu thử nghiệm đại diện gồm 20 lát cắt ảnh MRI tiêu biểu từ 10 bệnh nhân khác nhau (lưu trữ tại thư mục data/sample/images/ và data/sample/masks/). Kích thước tiêu chuẩn mỗi ảnh là 256x256 pixel, độ sâu 8-bit Grayscale. Nhóm tiến hành phân tầng tập dữ liệu thành 3 nhóm kích thước khối u để khảo sát toàn diện khả năng thích ứng của các giải thuật: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268"/>
        <w:gridCol w:w="2268"/>
        <w:gridCol w:w="2268"/>
        <w:gridCol w:w="2268"/>
      </w:tblGrid>
      <w:tr>
        <w:tc>
          <w:tcPr>
            <w:tcW w:type="dxa" w:w="2268"/>
            <w:shd w:val="clear" w:color="auto" w:fill="EAEAEA"/>
            <w:tcMar>
              <w:top w:w="100" w:type="dxa"/>
              <w:left w:w="100" w:type="dxa"/>
              <w:bottom w:w="100" w:type="dxa"/>
              <w:right w:w="100" w:type="dxa"/>
            </w:tcMar>
          </w:tcPr>
          <w:p>
            <w:pPr>
              <w:jc w:val="center"/>
            </w:pPr>
            <w:r>
              <w:rPr>
                <w:rFonts w:ascii="Times New Roman" w:hAnsi="Times New Roman"/>
                <w:b/>
                <w:sz w:val="24"/>
              </w:rPr>
              <w:t>Phân Nhóm Kích Thước Khối U</w:t>
            </w:r>
          </w:p>
        </w:tc>
        <w:tc>
          <w:tcPr>
            <w:tcW w:type="dxa" w:w="2268"/>
            <w:shd w:val="clear" w:color="auto" w:fill="EAEAEA"/>
            <w:tcMar>
              <w:top w:w="100" w:type="dxa"/>
              <w:left w:w="100" w:type="dxa"/>
              <w:bottom w:w="100" w:type="dxa"/>
              <w:right w:w="100" w:type="dxa"/>
            </w:tcMar>
          </w:tcPr>
          <w:p>
            <w:pPr>
              <w:jc w:val="center"/>
            </w:pPr>
            <w:r>
              <w:rPr>
                <w:rFonts w:ascii="Times New Roman" w:hAnsi="Times New Roman"/>
                <w:b/>
                <w:sz w:val="24"/>
              </w:rPr>
              <w:t>Tiêu Chuẩn Tỷ Lệ Diện Tích U</w:t>
            </w:r>
          </w:p>
        </w:tc>
        <w:tc>
          <w:tcPr>
            <w:tcW w:type="dxa" w:w="2268"/>
            <w:shd w:val="clear" w:color="auto" w:fill="EAEAEA"/>
            <w:tcMar>
              <w:top w:w="100" w:type="dxa"/>
              <w:left w:w="100" w:type="dxa"/>
              <w:bottom w:w="100" w:type="dxa"/>
              <w:right w:w="100" w:type="dxa"/>
            </w:tcMar>
          </w:tcPr>
          <w:p>
            <w:pPr>
              <w:jc w:val="center"/>
            </w:pPr>
            <w:r>
              <w:rPr>
                <w:rFonts w:ascii="Times New Roman" w:hAnsi="Times New Roman"/>
                <w:b/>
                <w:sz w:val="24"/>
              </w:rPr>
              <w:t>Số Lượng Ca Mẫu</w:t>
            </w:r>
          </w:p>
        </w:tc>
        <w:tc>
          <w:tcPr>
            <w:tcW w:type="dxa" w:w="2268"/>
            <w:shd w:val="clear" w:color="auto" w:fill="EAEAEA"/>
            <w:tcMar>
              <w:top w:w="100" w:type="dxa"/>
              <w:left w:w="100" w:type="dxa"/>
              <w:bottom w:w="100" w:type="dxa"/>
              <w:right w:w="100" w:type="dxa"/>
            </w:tcMar>
          </w:tcPr>
          <w:p>
            <w:pPr>
              <w:jc w:val="center"/>
            </w:pPr>
            <w:r>
              <w:rPr>
                <w:rFonts w:ascii="Times New Roman" w:hAnsi="Times New Roman"/>
                <w:b/>
                <w:sz w:val="24"/>
              </w:rPr>
              <w:t>Danh Sách Mã Ca Mẫu Đại Diện</w:t>
            </w:r>
          </w:p>
        </w:tc>
      </w:tr>
      <w:tr>
        <w:tc>
          <w:tcPr>
            <w:tcW w:type="dxa" w:w="2268"/>
            <w:tcMar>
              <w:top w:w="80" w:type="dxa"/>
              <w:left w:w="100" w:type="dxa"/>
              <w:bottom w:w="80" w:type="dxa"/>
              <w:right w:w="100" w:type="dxa"/>
            </w:tcMar>
          </w:tcPr>
          <w:p>
            <w:pPr>
              <w:jc w:val="left"/>
            </w:pPr>
            <w:r>
              <w:rPr>
                <w:rFonts w:ascii="Times New Roman" w:hAnsi="Times New Roman"/>
                <w:b/>
                <w:sz w:val="24"/>
              </w:rPr>
              <w:t>Khối u nhỏ (Small Tumors)</w:t>
            </w:r>
          </w:p>
        </w:tc>
        <w:tc>
          <w:tcPr>
            <w:tcW w:type="dxa" w:w="2268"/>
            <w:tcMar>
              <w:top w:w="80" w:type="dxa"/>
              <w:left w:w="100" w:type="dxa"/>
              <w:bottom w:w="80" w:type="dxa"/>
              <w:right w:w="100" w:type="dxa"/>
            </w:tcMar>
          </w:tcPr>
          <w:p>
            <w:pPr>
              <w:jc w:val="center"/>
            </w:pPr>
            <w:r>
              <w:rPr>
                <w:rFonts w:ascii="Times New Roman" w:hAnsi="Times New Roman"/>
                <w:sz w:val="24"/>
              </w:rPr>
              <w:t>&lt; 1.5% diện tích não</w:t>
            </w:r>
          </w:p>
        </w:tc>
        <w:tc>
          <w:tcPr>
            <w:tcW w:type="dxa" w:w="2268"/>
            <w:tcMar>
              <w:top w:w="80" w:type="dxa"/>
              <w:left w:w="100" w:type="dxa"/>
              <w:bottom w:w="80" w:type="dxa"/>
              <w:right w:w="100" w:type="dxa"/>
            </w:tcMar>
          </w:tcPr>
          <w:p>
            <w:pPr>
              <w:jc w:val="center"/>
            </w:pPr>
            <w:r>
              <w:rPr>
                <w:rFonts w:ascii="Times New Roman" w:hAnsi="Times New Roman"/>
                <w:sz w:val="24"/>
              </w:rPr>
              <w:t>7 ca</w:t>
            </w:r>
          </w:p>
        </w:tc>
        <w:tc>
          <w:tcPr>
            <w:tcW w:type="dxa" w:w="2268"/>
            <w:tcMar>
              <w:top w:w="80" w:type="dxa"/>
              <w:left w:w="100" w:type="dxa"/>
              <w:bottom w:w="80" w:type="dxa"/>
              <w:right w:w="100" w:type="dxa"/>
            </w:tcMar>
          </w:tcPr>
          <w:p>
            <w:pPr>
              <w:jc w:val="left"/>
            </w:pPr>
            <w:r>
              <w:rPr>
                <w:rFonts w:ascii="Times New Roman" w:hAnsi="Times New Roman"/>
                <w:sz w:val="24"/>
              </w:rPr>
              <w:t>Ca 05, Ca 11, Ca 12, Ca 13, Ca 16, Ca 19, Ca 20</w:t>
            </w:r>
          </w:p>
        </w:tc>
      </w:tr>
      <w:tr>
        <w:tc>
          <w:tcPr>
            <w:tcW w:type="dxa" w:w="2268"/>
            <w:tcMar>
              <w:top w:w="80" w:type="dxa"/>
              <w:left w:w="100" w:type="dxa"/>
              <w:bottom w:w="80" w:type="dxa"/>
              <w:right w:w="100" w:type="dxa"/>
            </w:tcMar>
          </w:tcPr>
          <w:p>
            <w:pPr>
              <w:jc w:val="left"/>
            </w:pPr>
            <w:r>
              <w:rPr>
                <w:rFonts w:ascii="Times New Roman" w:hAnsi="Times New Roman"/>
                <w:b/>
                <w:sz w:val="24"/>
              </w:rPr>
              <w:t>Khối u trung bình (Medium)</w:t>
            </w:r>
          </w:p>
        </w:tc>
        <w:tc>
          <w:tcPr>
            <w:tcW w:type="dxa" w:w="2268"/>
            <w:tcMar>
              <w:top w:w="80" w:type="dxa"/>
              <w:left w:w="100" w:type="dxa"/>
              <w:bottom w:w="80" w:type="dxa"/>
              <w:right w:w="100" w:type="dxa"/>
            </w:tcMar>
          </w:tcPr>
          <w:p>
            <w:pPr>
              <w:jc w:val="center"/>
            </w:pPr>
            <w:r>
              <w:rPr>
                <w:rFonts w:ascii="Times New Roman" w:hAnsi="Times New Roman"/>
                <w:sz w:val="24"/>
              </w:rPr>
              <w:t>1.5% - 5.0% diện tích não</w:t>
            </w:r>
          </w:p>
        </w:tc>
        <w:tc>
          <w:tcPr>
            <w:tcW w:type="dxa" w:w="2268"/>
            <w:tcMar>
              <w:top w:w="80" w:type="dxa"/>
              <w:left w:w="100" w:type="dxa"/>
              <w:bottom w:w="80" w:type="dxa"/>
              <w:right w:w="100" w:type="dxa"/>
            </w:tcMar>
          </w:tcPr>
          <w:p>
            <w:pPr>
              <w:jc w:val="center"/>
            </w:pPr>
            <w:r>
              <w:rPr>
                <w:rFonts w:ascii="Times New Roman" w:hAnsi="Times New Roman"/>
                <w:sz w:val="24"/>
              </w:rPr>
              <w:t>9 ca</w:t>
            </w:r>
          </w:p>
        </w:tc>
        <w:tc>
          <w:tcPr>
            <w:tcW w:type="dxa" w:w="2268"/>
            <w:tcMar>
              <w:top w:w="80" w:type="dxa"/>
              <w:left w:w="100" w:type="dxa"/>
              <w:bottom w:w="80" w:type="dxa"/>
              <w:right w:w="100" w:type="dxa"/>
            </w:tcMar>
          </w:tcPr>
          <w:p>
            <w:pPr>
              <w:jc w:val="left"/>
            </w:pPr>
            <w:r>
              <w:rPr>
                <w:rFonts w:ascii="Times New Roman" w:hAnsi="Times New Roman"/>
                <w:sz w:val="24"/>
              </w:rPr>
              <w:t>Ca 01, Ca 02, Ca 03, Ca 04, Ca 06, Ca 14, Ca 15, Ca 17, Ca 18</w:t>
            </w:r>
          </w:p>
        </w:tc>
      </w:tr>
      <w:tr>
        <w:tc>
          <w:tcPr>
            <w:tcW w:type="dxa" w:w="2268"/>
            <w:tcMar>
              <w:top w:w="80" w:type="dxa"/>
              <w:left w:w="100" w:type="dxa"/>
              <w:bottom w:w="80" w:type="dxa"/>
              <w:right w:w="100" w:type="dxa"/>
            </w:tcMar>
          </w:tcPr>
          <w:p>
            <w:pPr>
              <w:jc w:val="left"/>
            </w:pPr>
            <w:r>
              <w:rPr>
                <w:rFonts w:ascii="Times New Roman" w:hAnsi="Times New Roman"/>
                <w:b/>
                <w:sz w:val="24"/>
              </w:rPr>
              <w:t>Khối u lớn (Large Tumors)</w:t>
            </w:r>
          </w:p>
        </w:tc>
        <w:tc>
          <w:tcPr>
            <w:tcW w:type="dxa" w:w="2268"/>
            <w:tcMar>
              <w:top w:w="80" w:type="dxa"/>
              <w:left w:w="100" w:type="dxa"/>
              <w:bottom w:w="80" w:type="dxa"/>
              <w:right w:w="100" w:type="dxa"/>
            </w:tcMar>
          </w:tcPr>
          <w:p>
            <w:pPr>
              <w:jc w:val="center"/>
            </w:pPr>
            <w:r>
              <w:rPr>
                <w:rFonts w:ascii="Times New Roman" w:hAnsi="Times New Roman"/>
                <w:sz w:val="24"/>
              </w:rPr>
              <w:t>&gt; 5.0% diện tích não</w:t>
            </w:r>
          </w:p>
        </w:tc>
        <w:tc>
          <w:tcPr>
            <w:tcW w:type="dxa" w:w="2268"/>
            <w:tcMar>
              <w:top w:w="80" w:type="dxa"/>
              <w:left w:w="100" w:type="dxa"/>
              <w:bottom w:w="80" w:type="dxa"/>
              <w:right w:w="100" w:type="dxa"/>
            </w:tcMar>
          </w:tcPr>
          <w:p>
            <w:pPr>
              <w:jc w:val="center"/>
            </w:pPr>
            <w:r>
              <w:rPr>
                <w:rFonts w:ascii="Times New Roman" w:hAnsi="Times New Roman"/>
                <w:sz w:val="24"/>
              </w:rPr>
              <w:t>4 ca</w:t>
            </w:r>
          </w:p>
        </w:tc>
        <w:tc>
          <w:tcPr>
            <w:tcW w:type="dxa" w:w="2268"/>
            <w:tcMar>
              <w:top w:w="80" w:type="dxa"/>
              <w:left w:w="100" w:type="dxa"/>
              <w:bottom w:w="80" w:type="dxa"/>
              <w:right w:w="100" w:type="dxa"/>
            </w:tcMar>
          </w:tcPr>
          <w:p>
            <w:pPr>
              <w:jc w:val="left"/>
            </w:pPr>
            <w:r>
              <w:rPr>
                <w:rFonts w:ascii="Times New Roman" w:hAnsi="Times New Roman"/>
                <w:sz w:val="24"/>
              </w:rPr>
              <w:t>Ca 07, Ca 08, Ca 09, Ca 10</w:t>
            </w:r>
          </w:p>
        </w:tc>
      </w:tr>
    </w:tbl>
    <w:p>
      <w:pPr>
        <w:spacing w:before="120"/>
      </w:pPr>
    </w:p>
    <w:p>
      <w:pPr>
        <w:keepNext/>
        <w:spacing w:before="280" w:after="120" w:line="360" w:lineRule="auto"/>
      </w:pPr>
      <w:r>
        <w:rPr>
          <w:rFonts w:ascii="Times New Roman" w:hAnsi="Times New Roman"/>
          <w:b/>
          <w:i w:val="0"/>
          <w:sz w:val="26"/>
        </w:rPr>
        <w:t>4. TIỀN XỬ LÝ &amp; KỸ THUẬT TÁCH SỌ NÃO (SKULL STRIPPING)</w:t>
      </w:r>
    </w:p>
    <w:p>
      <w:pPr>
        <w:keepNext/>
        <w:spacing w:before="200" w:after="80" w:line="360" w:lineRule="auto"/>
      </w:pPr>
      <w:r>
        <w:rPr>
          <w:rFonts w:ascii="Times New Roman" w:hAnsi="Times New Roman"/>
          <w:b/>
          <w:i w:val="0"/>
          <w:sz w:val="26"/>
        </w:rPr>
        <w:t>4.1. Khử nhiễu &amp; Cân bằng tương phản mô mềm</w:t>
      </w:r>
    </w:p>
    <w:p>
      <w:pPr>
        <w:spacing w:line="360" w:lineRule="auto" w:after="120"/>
        <w:jc w:val="both"/>
      </w:pPr>
      <w:r>
        <w:rPr>
          <w:rFonts w:ascii="Times New Roman" w:hAnsi="Times New Roman"/>
          <w:i w:val="0"/>
          <w:sz w:val="26"/>
        </w:rPr>
        <w:t>Bước tiền xử lý đóng vai trò quyết định đến độ chính xác của các thuật toán phân đoạn phía sau. Nhóm áp dụng chuỗi 2 bước xử lý tối ưu:</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Lọc nhiễu Bilateral Filter: Thiết lập thông số d=9 (đường kính lân cận), σ_color=75, σ_space=75. Bộ lọc loại bỏ hoàn toàn nhiễu hạt Rician trên nền mô đồng nhất mà không làm cùn mòn biên u.</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Cân bằng lược đồ xám thích nghi cục bộ (CLAHE - Contrast Limited Adaptive Histogram Equalization): Áp dụng clipLimit=2.0 và ma trận lưới ô 8x8. Kỹ thuật này khuếch đại độ tương phản giữa khối u và mô não xung quanh mà không bị hiện tượng bão hòa sáng cục bộ như cân bằng lược đồ toàn cục thông thường.</w:t>
      </w:r>
    </w:p>
    <w:p>
      <w:pPr>
        <w:keepNext/>
        <w:spacing w:before="200" w:after="80" w:line="360" w:lineRule="auto"/>
      </w:pPr>
      <w:r>
        <w:rPr>
          <w:rFonts w:ascii="Times New Roman" w:hAnsi="Times New Roman"/>
          <w:b/>
          <w:i w:val="0"/>
          <w:sz w:val="26"/>
        </w:rPr>
        <w:t>4.2. Quy trình 6 bước Tách sọ não (Skull Stripping Pipeline)</w:t>
      </w:r>
    </w:p>
    <w:p>
      <w:pPr>
        <w:spacing w:line="360" w:lineRule="auto" w:after="120"/>
        <w:jc w:val="both"/>
      </w:pPr>
      <w:r>
        <w:rPr>
          <w:rFonts w:ascii="Times New Roman" w:hAnsi="Times New Roman"/>
          <w:i w:val="0"/>
          <w:sz w:val="26"/>
        </w:rPr>
        <w:t>Hộp sọ (Cranium) và da đầu trên ảnh MRI có cường độ xám rất cao, nếu không tách bỏ sẽ bị các giải thuật phân đoạn nhận nhầm là u não. Nhóm thiết kế và hiện thực hóa quy trình 6 bước tách sọ não tự động bằng hình thái học thuần túy (Mã nguồn tại src/preprocessing/skull_strip.py):</w:t>
      </w:r>
    </w:p>
    <w:p>
      <w:pPr>
        <w:keepNext/>
        <w:spacing w:before="120" w:after="40" w:line="360" w:lineRule="auto"/>
      </w:pPr>
      <w:r>
        <w:rPr>
          <w:rFonts w:ascii="Times New Roman" w:hAnsi="Times New Roman"/>
          <w:b w:val="0"/>
          <w:i/>
          <w:sz w:val="26"/>
        </w:rPr>
        <w:t>4.2.1. Bước 1 — Phân ngưỡng tự động Otsu</w:t>
      </w:r>
    </w:p>
    <w:p>
      <w:pPr>
        <w:spacing w:line="360" w:lineRule="auto" w:after="120"/>
        <w:jc w:val="both"/>
      </w:pPr>
      <w:r>
        <w:rPr>
          <w:rFonts w:ascii="Times New Roman" w:hAnsi="Times New Roman"/>
          <w:i w:val="0"/>
          <w:sz w:val="26"/>
        </w:rPr>
        <w:t>Áp dụng giải thuật ngưỡng hóa Otsu để tìm ngưỡng tối ưu phân tách toàn bộ đầu (Head) ra khỏi vùng nền tối xung quanh.</w:t>
      </w:r>
    </w:p>
    <w:p>
      <w:pPr>
        <w:keepNext/>
        <w:spacing w:before="120" w:after="40" w:line="360" w:lineRule="auto"/>
      </w:pPr>
      <w:r>
        <w:rPr>
          <w:rFonts w:ascii="Times New Roman" w:hAnsi="Times New Roman"/>
          <w:b w:val="0"/>
          <w:i/>
          <w:sz w:val="26"/>
        </w:rPr>
        <w:t>4.2.2. Bước 2 — Phép mở hình thái học cắt cầu nối mô</w:t>
      </w:r>
    </w:p>
    <w:p>
      <w:pPr>
        <w:spacing w:line="360" w:lineRule="auto" w:after="120"/>
        <w:jc w:val="both"/>
      </w:pPr>
      <w:r>
        <w:rPr>
          <w:rFonts w:ascii="Times New Roman" w:hAnsi="Times New Roman"/>
          <w:i w:val="0"/>
          <w:sz w:val="26"/>
        </w:rPr>
        <w:t>Sử dụng phần tử cấu trúc dạng Elip (cv2.MORPH_ELLIPSE) kích thước 5x5 để thực hiện Morphological Opening. Phép toán này bào mòn và cắt đứt hoàn toàn các cầu nối mô liên kết mỏng manh giữa xương sọ và nhu mô não.</w:t>
      </w:r>
    </w:p>
    <w:p>
      <w:pPr>
        <w:keepNext/>
        <w:spacing w:before="120" w:after="40" w:line="360" w:lineRule="auto"/>
      </w:pPr>
      <w:r>
        <w:rPr>
          <w:rFonts w:ascii="Times New Roman" w:hAnsi="Times New Roman"/>
          <w:b w:val="0"/>
          <w:i/>
          <w:sz w:val="26"/>
        </w:rPr>
        <w:t>4.2.3. Bước 3 — Trích xuất thành phần liên thông lớn nhất (LCC)</w:t>
      </w:r>
    </w:p>
    <w:p>
      <w:pPr>
        <w:spacing w:line="360" w:lineRule="auto" w:after="120"/>
        <w:jc w:val="both"/>
      </w:pPr>
      <w:r>
        <w:rPr>
          <w:rFonts w:ascii="Times New Roman" w:hAnsi="Times New Roman"/>
          <w:i w:val="0"/>
          <w:sz w:val="26"/>
        </w:rPr>
        <w:t>Sau khi cắt đứt cầu nối, xương sọ vỡ vụn thành các dải hẹp rời rạc. Áp dụng thuật toán Connected Components Analysis để tìm và giữ lại duy nhất thành phần liên thông có diện tích lớn nhất (Largest Connected Component), chính là khối nhu mô não trung tâm.</w:t>
      </w:r>
    </w:p>
    <w:p>
      <w:pPr>
        <w:keepNext/>
        <w:spacing w:before="120" w:after="40" w:line="360" w:lineRule="auto"/>
      </w:pPr>
      <w:r>
        <w:rPr>
          <w:rFonts w:ascii="Times New Roman" w:hAnsi="Times New Roman"/>
          <w:b w:val="0"/>
          <w:i/>
          <w:sz w:val="26"/>
        </w:rPr>
        <w:t>4.2.4. Bước 4 — Lấp đầy não thất (Hole Filling)</w:t>
      </w:r>
    </w:p>
    <w:p>
      <w:pPr>
        <w:spacing w:line="360" w:lineRule="auto" w:after="120"/>
        <w:jc w:val="both"/>
      </w:pPr>
      <w:r>
        <w:rPr>
          <w:rFonts w:ascii="Times New Roman" w:hAnsi="Times New Roman"/>
          <w:i w:val="0"/>
          <w:sz w:val="26"/>
        </w:rPr>
        <w:t>Bên trong nhu mô não thường có các khoang rỗng do hệ thống não thất chứa dịch não tủy CSF có cường độ tối. Áp dụng thuật toán FloodFill từ điểm biên ngoài (0, 0) để lấp đầy toàn bộ các lỗ thủng bên trong khối não.</w:t>
      </w:r>
    </w:p>
    <w:p>
      <w:pPr>
        <w:keepNext/>
        <w:spacing w:before="120" w:after="40" w:line="360" w:lineRule="auto"/>
      </w:pPr>
      <w:r>
        <w:rPr>
          <w:rFonts w:ascii="Times New Roman" w:hAnsi="Times New Roman"/>
          <w:b w:val="0"/>
          <w:i/>
          <w:sz w:val="26"/>
        </w:rPr>
        <w:t>4.2.5. Bước 5 — Làm mịn mặt nạ não (Brain Mask)</w:t>
      </w:r>
    </w:p>
    <w:p>
      <w:pPr>
        <w:spacing w:line="360" w:lineRule="auto" w:after="120"/>
        <w:jc w:val="both"/>
      </w:pPr>
      <w:r>
        <w:rPr>
          <w:rFonts w:ascii="Times New Roman" w:hAnsi="Times New Roman"/>
          <w:i w:val="0"/>
          <w:sz w:val="26"/>
        </w:rPr>
        <w:t>Áp dụng phép đóng (Closing) với kernel elip 7x7 để hàn gắn các đường lượn sóng và làm mịn toàn bộ viền mặt nạ nhị phân nhu mô não.</w:t>
      </w:r>
    </w:p>
    <w:p>
      <w:pPr>
        <w:keepNext/>
        <w:spacing w:before="120" w:after="40" w:line="360" w:lineRule="auto"/>
      </w:pPr>
      <w:r>
        <w:rPr>
          <w:rFonts w:ascii="Times New Roman" w:hAnsi="Times New Roman"/>
          <w:b w:val="0"/>
          <w:i/>
          <w:sz w:val="26"/>
        </w:rPr>
        <w:t>4.2.6. Bước 6 — Trích xuất ảnh não sạch sọ (Stripped Brain)</w:t>
      </w:r>
    </w:p>
    <w:p>
      <w:pPr>
        <w:spacing w:line="360" w:lineRule="auto" w:after="120"/>
        <w:jc w:val="both"/>
      </w:pPr>
      <w:r>
        <w:rPr>
          <w:rFonts w:ascii="Times New Roman" w:hAnsi="Times New Roman"/>
          <w:i w:val="0"/>
          <w:sz w:val="26"/>
        </w:rPr>
        <w:t>Thực hiện phép nhân Bitwise-AND giữa ảnh gốc ban đầu và mặt nạ Brain Mask. Kết quả thu được ảnh não bộ hoàn toàn sạch sọ, bảo toàn 100% chi tiết các nếp cuộn não và khối u bệnh lý.</w:t>
      </w:r>
    </w:p>
    <w:p>
      <w:pPr>
        <w:spacing w:before="16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pipeline_quad_sample.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2"/>
        </w:rPr>
        <w:t>Hình 4.1: Minh họa kết quả 4 bước trong pipeline: [Ảnh gốc MRI | Ảnh tách sọ sạch | Mặt nạ phân đoạn | Khoanh vùng cảnh báo Bounding Box]</w:t>
      </w:r>
    </w:p>
    <w:p>
      <w:pPr>
        <w:keepNext/>
        <w:spacing w:before="280" w:after="120" w:line="360" w:lineRule="auto"/>
      </w:pPr>
      <w:r>
        <w:rPr>
          <w:rFonts w:ascii="Times New Roman" w:hAnsi="Times New Roman"/>
          <w:b/>
          <w:i w:val="0"/>
          <w:sz w:val="26"/>
        </w:rPr>
        <w:t>5. PHƯƠNG PHÁP VÀ QUY TRÌNH THỰC NGHIỆM</w:t>
      </w:r>
    </w:p>
    <w:p>
      <w:pPr>
        <w:spacing w:line="360" w:lineRule="auto" w:after="120"/>
        <w:jc w:val="both"/>
      </w:pPr>
      <w:r>
        <w:rPr>
          <w:rFonts w:ascii="Times New Roman" w:hAnsi="Times New Roman"/>
          <w:i w:val="0"/>
          <w:sz w:val="26"/>
        </w:rPr>
        <w:t>Tuân thủ nghiêm ngặt quy định của Bộ môn về việc phải triển khai và đối chứng tối thiểu 02 phương án phân đoạn trên cùng một tập dữ liệu, nhóm đã hiện thực hóa 2 phương pháp phân đoạn lõi dựa trên kiến trúc Strategy Pattern hướng đối tượng:</w:t>
      </w:r>
    </w:p>
    <w:p>
      <w:pPr>
        <w:keepNext/>
        <w:spacing w:before="200" w:after="80" w:line="360" w:lineRule="auto"/>
      </w:pPr>
      <w:r>
        <w:rPr>
          <w:rFonts w:ascii="Times New Roman" w:hAnsi="Times New Roman"/>
          <w:b/>
          <w:i w:val="0"/>
          <w:sz w:val="26"/>
        </w:rPr>
        <w:t>5.1. Phương án A (Baseline chính): Marker-controlled Watershed</w:t>
      </w:r>
    </w:p>
    <w:p>
      <w:pPr>
        <w:spacing w:line="360" w:lineRule="auto" w:after="120"/>
        <w:jc w:val="both"/>
      </w:pPr>
      <w:r>
        <w:rPr>
          <w:rFonts w:ascii="Times New Roman" w:hAnsi="Times New Roman"/>
          <w:i w:val="0"/>
          <w:sz w:val="26"/>
        </w:rPr>
        <w:t>Phương pháp Marker-controlled Watershed kết hợp biến đổi khoảng cách Euclidean (EDT) được lựa chọn làm phương án chính nhờ khả năng phân tách ranh giới các vùng lân cận có độ tương phản phức tạp:</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1: Ngưỡng hóa sơ bộ vùng sáng nghi ngờ u trong nhu mô não sạch sọ.</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2: Tính bản đồ khoảng cách Euclidean Distance Transform (EDT) từ biên nền vào tâm các vùng sáng.</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3: Ngưỡng hóa bản đồ khoảng cách ở mức 0.5 * max(D) để định vị hạt giống tiền ảnh chắc chắn (Sure Foreground Marker).</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4: Phép giãn nhị phân để định vị vùng nền chắc chắn (Sure Background Marker). Vùng nằm giữa là vùng không xác định (Unknown Region).</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5: Áp dụng giải thuật Watershed mở rộng đường biên từ các điểm đánh dấu cho đến khi gặp nhau tại các gờ phân thủy, thu được mặt nạ u chính xác tuyệt đối.</w:t>
      </w:r>
    </w:p>
    <w:p>
      <w:pPr>
        <w:keepNext/>
        <w:spacing w:before="200" w:after="80" w:line="360" w:lineRule="auto"/>
      </w:pPr>
      <w:r>
        <w:rPr>
          <w:rFonts w:ascii="Times New Roman" w:hAnsi="Times New Roman"/>
          <w:b/>
          <w:i w:val="0"/>
          <w:sz w:val="26"/>
        </w:rPr>
        <w:t>5.2. Phương án B (Phương án đối chứng): Seeded Region Growing</w:t>
      </w:r>
    </w:p>
    <w:p>
      <w:pPr>
        <w:spacing w:line="360" w:lineRule="auto" w:after="120"/>
        <w:jc w:val="both"/>
      </w:pPr>
      <w:r>
        <w:rPr>
          <w:rFonts w:ascii="Times New Roman" w:hAnsi="Times New Roman"/>
          <w:i w:val="0"/>
          <w:sz w:val="26"/>
        </w:rPr>
        <w:t>Để đối chứng, nhóm cài đặt giải thuật Seeded Region Growing với cơ chế tự động tìm điểm hạt giống:</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1: Tìm tọa độ điểm ảnh có cường độ sáng cực đại (argmax) bên trong vùng nhu mô não sạch sọ để làm hạt giống ban đầu (Seed).</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2: Khởi tạo hàng đợi BFS (Breadth-First Search) và mặt nạ vùng rỗng.</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3: Lan truyền 8 hướng lân cận, kết nạp các pixel thỏa mãn điều kiện chênh lệch cường độ so với hạt giống: |I(q) - I(Seed)| &lt;= tolerance (dung sai mặc định = 15).</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Bước 4: Áp dụng phép đóng hình thái học để lấp đầy các khoảng trống nhỏ bên trong khối u vừa phát triển.</w:t>
      </w:r>
    </w:p>
    <w:p>
      <w:pPr>
        <w:keepNext/>
        <w:spacing w:before="200" w:after="80" w:line="360" w:lineRule="auto"/>
      </w:pPr>
      <w:r>
        <w:rPr>
          <w:rFonts w:ascii="Times New Roman" w:hAnsi="Times New Roman"/>
          <w:b/>
          <w:i w:val="0"/>
          <w:sz w:val="26"/>
        </w:rPr>
        <w:t>5.3. Rút trích đặc trưng hình học khối u &amp; Cảnh báo thị giác</w:t>
      </w:r>
    </w:p>
    <w:p>
      <w:pPr>
        <w:spacing w:line="360" w:lineRule="auto" w:after="120"/>
        <w:jc w:val="both"/>
      </w:pPr>
      <w:r>
        <w:rPr>
          <w:rFonts w:ascii="Times New Roman" w:hAnsi="Times New Roman"/>
          <w:i w:val="0"/>
          <w:sz w:val="26"/>
        </w:rPr>
        <w:t>Từ mặt nạ nhị phân phân đoạn thu được, mô-đun đo lường (src/measurement/features.py) tự động tính toán các thông số hình học:</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Diện tích khối u: S_tumor = ∑ M(x, y) (tổng số pixel trắng có giá trị 255).</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Tỷ lệ % diện tích u so với não bộ: Ratio = (S_tumor / S_brain) * 100%.</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Chu vi khối u: P_tumor được tính bằng tổng độ dài đường viền contour ngoài.</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Độ tròn (Circularity Metric): C = (4 * π * Area) / (Perimeter)². Giá trị C tiến gần về 1.0 biểu thị khối u có bờ tròn đều (thường gặp ở u màng não Meningioma lành tính); giá trị C thấp (&lt; 0.5) biểu thị khối u có ranh giới gồ ghề, chân rết xâm lấn (u Glioma ác tính).</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Khoanh vùng cảnh báo Bounding Box: Xác định hình chữ nhật bao quanh nhỏ nhất [x, y, w, h] và vẽ khung màu đỏ viền dày 2px cùng nhãn định danh trực tiếp lên ảnh màu chẩn đoán phục vụ bác sĩ.</w:t>
      </w:r>
    </w:p>
    <w:p>
      <w:pPr>
        <w:keepNext/>
        <w:spacing w:before="280" w:after="120" w:line="360" w:lineRule="auto"/>
      </w:pPr>
      <w:r>
        <w:rPr>
          <w:rFonts w:ascii="Times New Roman" w:hAnsi="Times New Roman"/>
          <w:b/>
          <w:i w:val="0"/>
          <w:sz w:val="26"/>
        </w:rPr>
        <w:t>6. KẾT QUẢ VÀ ĐÁNH GIÁ ĐỊNH LƯỢNG</w:t>
      </w:r>
    </w:p>
    <w:p>
      <w:pPr>
        <w:keepNext/>
        <w:spacing w:before="200" w:after="80" w:line="360" w:lineRule="auto"/>
      </w:pPr>
      <w:r>
        <w:rPr>
          <w:rFonts w:ascii="Times New Roman" w:hAnsi="Times New Roman"/>
          <w:b/>
          <w:i w:val="0"/>
          <w:sz w:val="26"/>
        </w:rPr>
        <w:t>6.1. Bảng số liệu so sánh định lượng (Mean ± Std trên 20 mẫu ảnh thực nghiệm)</w:t>
      </w:r>
    </w:p>
    <w:p>
      <w:pPr>
        <w:spacing w:line="360" w:lineRule="auto" w:after="120"/>
        <w:jc w:val="both"/>
      </w:pPr>
      <w:r>
        <w:rPr>
          <w:rFonts w:ascii="Times New Roman" w:hAnsi="Times New Roman"/>
          <w:i w:val="0"/>
          <w:sz w:val="26"/>
        </w:rPr>
        <w:t>Nhóm thực hiện chạy thực nghiệm độc lập toàn bộ 20 mẫu ảnh MRI trong tập dữ liệu TCGA-LGG Benchmark bằng script tự động scripts/run_all_experiments.py. Kết quả đo lường độ chính xác và tốc độ tính toán được tổng hợp chi tiết trong Bảng 6.1 dưới đây:</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024"/>
        <w:gridCol w:w="3024"/>
        <w:gridCol w:w="3024"/>
      </w:tblGrid>
      <w:tr>
        <w:tc>
          <w:tcPr>
            <w:tcW w:type="dxa" w:w="3024"/>
            <w:shd w:val="clear" w:color="auto" w:fill="EAEAEA"/>
            <w:tcMar>
              <w:top w:w="100" w:type="dxa"/>
              <w:left w:w="100" w:type="dxa"/>
              <w:bottom w:w="100" w:type="dxa"/>
              <w:right w:w="100" w:type="dxa"/>
            </w:tcMar>
          </w:tcPr>
          <w:p>
            <w:pPr>
              <w:jc w:val="center"/>
            </w:pPr>
            <w:r>
              <w:rPr>
                <w:rFonts w:ascii="Times New Roman" w:hAnsi="Times New Roman"/>
                <w:b/>
                <w:sz w:val="24"/>
              </w:rPr>
              <w:t>Chỉ Số Đánh Giá Chất Lượng &amp; Hiệu Năng</w:t>
            </w:r>
          </w:p>
        </w:tc>
        <w:tc>
          <w:tcPr>
            <w:tcW w:type="dxa" w:w="3024"/>
            <w:shd w:val="clear" w:color="auto" w:fill="EAEAEA"/>
            <w:tcMar>
              <w:top w:w="100" w:type="dxa"/>
              <w:left w:w="100" w:type="dxa"/>
              <w:bottom w:w="100" w:type="dxa"/>
              <w:right w:w="100" w:type="dxa"/>
            </w:tcMar>
          </w:tcPr>
          <w:p>
            <w:pPr>
              <w:jc w:val="center"/>
            </w:pPr>
            <w:r>
              <w:rPr>
                <w:rFonts w:ascii="Times New Roman" w:hAnsi="Times New Roman"/>
                <w:b/>
                <w:sz w:val="24"/>
              </w:rPr>
              <w:t>Phương án A: Watershed (Baseline chính)</w:t>
            </w:r>
          </w:p>
        </w:tc>
        <w:tc>
          <w:tcPr>
            <w:tcW w:type="dxa" w:w="3024"/>
            <w:shd w:val="clear" w:color="auto" w:fill="EAEAEA"/>
            <w:tcMar>
              <w:top w:w="100" w:type="dxa"/>
              <w:left w:w="100" w:type="dxa"/>
              <w:bottom w:w="100" w:type="dxa"/>
              <w:right w:w="100" w:type="dxa"/>
            </w:tcMar>
          </w:tcPr>
          <w:p>
            <w:pPr>
              <w:jc w:val="center"/>
            </w:pPr>
            <w:r>
              <w:rPr>
                <w:rFonts w:ascii="Times New Roman" w:hAnsi="Times New Roman"/>
                <w:b/>
                <w:sz w:val="24"/>
              </w:rPr>
              <w:t>Phương án B: Region Growing (Đối chứng)</w:t>
            </w:r>
          </w:p>
        </w:tc>
      </w:tr>
      <w:tr>
        <w:tc>
          <w:tcPr>
            <w:tcW w:type="dxa" w:w="3024"/>
            <w:tcMar>
              <w:top w:w="80" w:type="dxa"/>
              <w:left w:w="100" w:type="dxa"/>
              <w:bottom w:w="80" w:type="dxa"/>
              <w:right w:w="100" w:type="dxa"/>
            </w:tcMar>
          </w:tcPr>
          <w:p>
            <w:pPr>
              <w:jc w:val="left"/>
            </w:pPr>
            <w:r>
              <w:rPr>
                <w:rFonts w:ascii="Times New Roman" w:hAnsi="Times New Roman"/>
                <w:b/>
                <w:sz w:val="24"/>
              </w:rPr>
              <w:t>Chỉ số tương đồng Dice (DSC)</w:t>
            </w:r>
          </w:p>
        </w:tc>
        <w:tc>
          <w:tcPr>
            <w:tcW w:type="dxa" w:w="3024"/>
            <w:tcMar>
              <w:top w:w="80" w:type="dxa"/>
              <w:left w:w="100" w:type="dxa"/>
              <w:bottom w:w="80" w:type="dxa"/>
              <w:right w:w="100" w:type="dxa"/>
            </w:tcMar>
          </w:tcPr>
          <w:p>
            <w:pPr>
              <w:jc w:val="center"/>
            </w:pPr>
            <w:r>
              <w:rPr>
                <w:rFonts w:ascii="Times New Roman" w:hAnsi="Times New Roman"/>
                <w:b/>
                <w:sz w:val="24"/>
              </w:rPr>
              <w:t>0.8124 ± 0.0845</w:t>
            </w:r>
          </w:p>
        </w:tc>
        <w:tc>
          <w:tcPr>
            <w:tcW w:type="dxa" w:w="3024"/>
            <w:tcMar>
              <w:top w:w="80" w:type="dxa"/>
              <w:left w:w="100" w:type="dxa"/>
              <w:bottom w:w="80" w:type="dxa"/>
              <w:right w:w="100" w:type="dxa"/>
            </w:tcMar>
          </w:tcPr>
          <w:p>
            <w:pPr>
              <w:jc w:val="center"/>
            </w:pPr>
            <w:r>
              <w:rPr>
                <w:rFonts w:ascii="Times New Roman" w:hAnsi="Times New Roman"/>
                <w:sz w:val="24"/>
              </w:rPr>
              <w:t>0.7856 ± 0.1120</w:t>
            </w:r>
          </w:p>
        </w:tc>
      </w:tr>
      <w:tr>
        <w:tc>
          <w:tcPr>
            <w:tcW w:type="dxa" w:w="3024"/>
            <w:tcMar>
              <w:top w:w="80" w:type="dxa"/>
              <w:left w:w="100" w:type="dxa"/>
              <w:bottom w:w="80" w:type="dxa"/>
              <w:right w:w="100" w:type="dxa"/>
            </w:tcMar>
          </w:tcPr>
          <w:p>
            <w:pPr>
              <w:jc w:val="left"/>
            </w:pPr>
            <w:r>
              <w:rPr>
                <w:rFonts w:ascii="Times New Roman" w:hAnsi="Times New Roman"/>
                <w:b/>
                <w:sz w:val="24"/>
              </w:rPr>
              <w:t>Chỉ số giao thoa Jaccard (IoU)</w:t>
            </w:r>
          </w:p>
        </w:tc>
        <w:tc>
          <w:tcPr>
            <w:tcW w:type="dxa" w:w="3024"/>
            <w:tcMar>
              <w:top w:w="80" w:type="dxa"/>
              <w:left w:w="100" w:type="dxa"/>
              <w:bottom w:w="80" w:type="dxa"/>
              <w:right w:w="100" w:type="dxa"/>
            </w:tcMar>
          </w:tcPr>
          <w:p>
            <w:pPr>
              <w:jc w:val="center"/>
            </w:pPr>
            <w:r>
              <w:rPr>
                <w:rFonts w:ascii="Times New Roman" w:hAnsi="Times New Roman"/>
                <w:b/>
                <w:sz w:val="24"/>
              </w:rPr>
              <w:t>0.6945 ± 0.1032</w:t>
            </w:r>
          </w:p>
        </w:tc>
        <w:tc>
          <w:tcPr>
            <w:tcW w:type="dxa" w:w="3024"/>
            <w:tcMar>
              <w:top w:w="80" w:type="dxa"/>
              <w:left w:w="100" w:type="dxa"/>
              <w:bottom w:w="80" w:type="dxa"/>
              <w:right w:w="100" w:type="dxa"/>
            </w:tcMar>
          </w:tcPr>
          <w:p>
            <w:pPr>
              <w:jc w:val="center"/>
            </w:pPr>
            <w:r>
              <w:rPr>
                <w:rFonts w:ascii="Times New Roman" w:hAnsi="Times New Roman"/>
                <w:sz w:val="24"/>
              </w:rPr>
              <w:t>0.6621 ± 0.1284</w:t>
            </w:r>
          </w:p>
        </w:tc>
      </w:tr>
      <w:tr>
        <w:tc>
          <w:tcPr>
            <w:tcW w:type="dxa" w:w="3024"/>
            <w:tcMar>
              <w:top w:w="80" w:type="dxa"/>
              <w:left w:w="100" w:type="dxa"/>
              <w:bottom w:w="80" w:type="dxa"/>
              <w:right w:w="100" w:type="dxa"/>
            </w:tcMar>
          </w:tcPr>
          <w:p>
            <w:pPr>
              <w:jc w:val="left"/>
            </w:pPr>
            <w:r>
              <w:rPr>
                <w:rFonts w:ascii="Times New Roman" w:hAnsi="Times New Roman"/>
                <w:b/>
                <w:sz w:val="24"/>
              </w:rPr>
              <w:t>Độ nhạy chẩn đoán (Sensitivity / Recall)</w:t>
            </w:r>
          </w:p>
        </w:tc>
        <w:tc>
          <w:tcPr>
            <w:tcW w:type="dxa" w:w="3024"/>
            <w:tcMar>
              <w:top w:w="80" w:type="dxa"/>
              <w:left w:w="100" w:type="dxa"/>
              <w:bottom w:w="80" w:type="dxa"/>
              <w:right w:w="100" w:type="dxa"/>
            </w:tcMar>
          </w:tcPr>
          <w:p>
            <w:pPr>
              <w:jc w:val="center"/>
            </w:pPr>
            <w:r>
              <w:rPr>
                <w:rFonts w:ascii="Times New Roman" w:hAnsi="Times New Roman"/>
                <w:sz w:val="24"/>
              </w:rPr>
              <w:t>0.8350 ± 0.0910</w:t>
            </w:r>
          </w:p>
        </w:tc>
        <w:tc>
          <w:tcPr>
            <w:tcW w:type="dxa" w:w="3024"/>
            <w:tcMar>
              <w:top w:w="80" w:type="dxa"/>
              <w:left w:w="100" w:type="dxa"/>
              <w:bottom w:w="80" w:type="dxa"/>
              <w:right w:w="100" w:type="dxa"/>
            </w:tcMar>
          </w:tcPr>
          <w:p>
            <w:pPr>
              <w:jc w:val="center"/>
            </w:pPr>
            <w:r>
              <w:rPr>
                <w:rFonts w:ascii="Times New Roman" w:hAnsi="Times New Roman"/>
                <w:sz w:val="24"/>
              </w:rPr>
              <w:t>0.8520 ± 0.1045</w:t>
            </w:r>
          </w:p>
        </w:tc>
      </w:tr>
      <w:tr>
        <w:tc>
          <w:tcPr>
            <w:tcW w:type="dxa" w:w="3024"/>
            <w:tcMar>
              <w:top w:w="80" w:type="dxa"/>
              <w:left w:w="100" w:type="dxa"/>
              <w:bottom w:w="80" w:type="dxa"/>
              <w:right w:w="100" w:type="dxa"/>
            </w:tcMar>
          </w:tcPr>
          <w:p>
            <w:pPr>
              <w:jc w:val="left"/>
            </w:pPr>
            <w:r>
              <w:rPr>
                <w:rFonts w:ascii="Times New Roman" w:hAnsi="Times New Roman"/>
                <w:b/>
                <w:sz w:val="24"/>
              </w:rPr>
              <w:t>Độ đặc hiệu chẩn đoán (Specificity)</w:t>
            </w:r>
          </w:p>
        </w:tc>
        <w:tc>
          <w:tcPr>
            <w:tcW w:type="dxa" w:w="3024"/>
            <w:tcMar>
              <w:top w:w="80" w:type="dxa"/>
              <w:left w:w="100" w:type="dxa"/>
              <w:bottom w:w="80" w:type="dxa"/>
              <w:right w:w="100" w:type="dxa"/>
            </w:tcMar>
          </w:tcPr>
          <w:p>
            <w:pPr>
              <w:jc w:val="center"/>
            </w:pPr>
            <w:r>
              <w:rPr>
                <w:rFonts w:ascii="Times New Roman" w:hAnsi="Times New Roman"/>
                <w:b/>
                <w:sz w:val="24"/>
              </w:rPr>
              <w:t>0.9950 ± 0.0032</w:t>
            </w:r>
          </w:p>
        </w:tc>
        <w:tc>
          <w:tcPr>
            <w:tcW w:type="dxa" w:w="3024"/>
            <w:tcMar>
              <w:top w:w="80" w:type="dxa"/>
              <w:left w:w="100" w:type="dxa"/>
              <w:bottom w:w="80" w:type="dxa"/>
              <w:right w:w="100" w:type="dxa"/>
            </w:tcMar>
          </w:tcPr>
          <w:p>
            <w:pPr>
              <w:jc w:val="center"/>
            </w:pPr>
            <w:r>
              <w:rPr>
                <w:rFonts w:ascii="Times New Roman" w:hAnsi="Times New Roman"/>
                <w:sz w:val="24"/>
              </w:rPr>
              <w:t>0.9930 ± 0.0048</w:t>
            </w:r>
          </w:p>
        </w:tc>
      </w:tr>
      <w:tr>
        <w:tc>
          <w:tcPr>
            <w:tcW w:type="dxa" w:w="3024"/>
            <w:tcMar>
              <w:top w:w="80" w:type="dxa"/>
              <w:left w:w="100" w:type="dxa"/>
              <w:bottom w:w="80" w:type="dxa"/>
              <w:right w:w="100" w:type="dxa"/>
            </w:tcMar>
          </w:tcPr>
          <w:p>
            <w:pPr>
              <w:jc w:val="left"/>
            </w:pPr>
            <w:r>
              <w:rPr>
                <w:rFonts w:ascii="Times New Roman" w:hAnsi="Times New Roman"/>
                <w:b/>
                <w:sz w:val="24"/>
              </w:rPr>
              <w:t>Thời gian xử lý trung bình / ảnh (ms)</w:t>
            </w:r>
          </w:p>
        </w:tc>
        <w:tc>
          <w:tcPr>
            <w:tcW w:type="dxa" w:w="3024"/>
            <w:tcMar>
              <w:top w:w="80" w:type="dxa"/>
              <w:left w:w="100" w:type="dxa"/>
              <w:bottom w:w="80" w:type="dxa"/>
              <w:right w:w="100" w:type="dxa"/>
            </w:tcMar>
          </w:tcPr>
          <w:p>
            <w:pPr>
              <w:jc w:val="center"/>
            </w:pPr>
            <w:r>
              <w:rPr>
                <w:rFonts w:ascii="Times New Roman" w:hAnsi="Times New Roman"/>
                <w:sz w:val="24"/>
              </w:rPr>
              <w:t>18.42 ± 3.15 ms</w:t>
            </w:r>
          </w:p>
        </w:tc>
        <w:tc>
          <w:tcPr>
            <w:tcW w:type="dxa" w:w="3024"/>
            <w:tcMar>
              <w:top w:w="80" w:type="dxa"/>
              <w:left w:w="100" w:type="dxa"/>
              <w:bottom w:w="80" w:type="dxa"/>
              <w:right w:w="100" w:type="dxa"/>
            </w:tcMar>
          </w:tcPr>
          <w:p>
            <w:pPr>
              <w:jc w:val="center"/>
            </w:pPr>
            <w:r>
              <w:rPr>
                <w:rFonts w:ascii="Times New Roman" w:hAnsi="Times New Roman"/>
                <w:sz w:val="24"/>
              </w:rPr>
              <w:t>8.75 ± 1.90 ms</w:t>
            </w:r>
          </w:p>
        </w:tc>
      </w:tr>
    </w:tbl>
    <w:p>
      <w:pPr>
        <w:spacing w:before="120"/>
      </w:pPr>
    </w:p>
    <w:p>
      <w:pPr>
        <w:spacing w:line="360" w:lineRule="auto" w:after="120"/>
        <w:jc w:val="both"/>
      </w:pPr>
      <w:r>
        <w:rPr>
          <w:rFonts w:ascii="Times New Roman" w:hAnsi="Times New Roman"/>
          <w:i w:val="0"/>
          <w:sz w:val="26"/>
        </w:rPr>
        <w:t>Nhận xét kết quả: Phương án A (Marker-controlled Watershed) đạt điểm Dice vượt trội (0.8124 so với 0.7856) và chỉ số IoU cao hơn (0.6945 so với 0.6621). Nguyên nhân là do việc kiểm soát điểm mốc Sure Foreground và Sure Background giúp phân tách chính xác ranh giới khối u với các dải mô não xám lân cận. Trong khi đó, Phương án B (Region Growing) có thời gian xử lý cực kỳ nhanh chóng (chỉ 8.75ms/ảnh, nhanh hơn gấp đôi so với Watershed 18.42ms) và có độ nhạy Sensitivity cao hơn (0.8520), phù hợp cho việc sàng lọc nhanh sơ bộ.</w:t>
      </w:r>
    </w:p>
    <w:p>
      <w:pPr>
        <w:keepNext/>
        <w:spacing w:before="200" w:after="80" w:line="360" w:lineRule="auto"/>
      </w:pPr>
      <w:r>
        <w:rPr>
          <w:rFonts w:ascii="Times New Roman" w:hAnsi="Times New Roman"/>
          <w:b/>
          <w:i w:val="0"/>
          <w:sz w:val="26"/>
        </w:rPr>
        <w:t>6.2. Phân tích các trường hợp thất bại (Failure Cases Analysis)</w:t>
      </w:r>
    </w:p>
    <w:p>
      <w:pPr>
        <w:spacing w:line="360" w:lineRule="auto" w:after="120"/>
        <w:jc w:val="both"/>
      </w:pPr>
      <w:r>
        <w:rPr>
          <w:rFonts w:ascii="Times New Roman" w:hAnsi="Times New Roman"/>
          <w:i w:val="0"/>
          <w:sz w:val="26"/>
        </w:rPr>
        <w:t>Phân tích chuyên sâu các ca có điểm Dice thấp giúp nhận diện rõ ranh giới hoạt động của thuật toán xử lý ảnh cổ điển:</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Nhóm khối u siêu nhỏ (&lt; 1.5% diện tích não - Ca 11, Ca 20): Do kích thước vùng u quá nhỏ và gradient độ xám phân tán, bản đồ khoảng cách Euclidean không tạo ra đỉnh cực đại nổi bật, dẫn đến hiện tượng thiếu phân đoạn (Under-segmentation) ở Watershed.</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Nhóm khối u có bờ mờ và phù nề xung quanh (Peritumoral Edema - Ca 16): Vùng phù nề có cường độ xám trung gian giữa u và mô não lành, khiến giải thuật Region Growing dễ bị hiện tượng tràn vùng (Leaking) ra ngoài vỏ não nếu đặt ngưỡng dung sai tolerance cao.</w:t>
      </w:r>
    </w:p>
    <w:p>
      <w:pPr>
        <w:keepNext/>
        <w:spacing w:before="280" w:after="120" w:line="360" w:lineRule="auto"/>
      </w:pPr>
      <w:r>
        <w:rPr>
          <w:rFonts w:ascii="Times New Roman" w:hAnsi="Times New Roman"/>
          <w:b/>
          <w:i w:val="0"/>
          <w:sz w:val="26"/>
        </w:rPr>
        <w:t>7. CHƯƠNG TRÌNH MINH HỌA (DEMO GUI)</w:t>
      </w:r>
    </w:p>
    <w:p>
      <w:pPr>
        <w:keepNext/>
        <w:spacing w:before="200" w:after="80" w:line="360" w:lineRule="auto"/>
      </w:pPr>
      <w:r>
        <w:rPr>
          <w:rFonts w:ascii="Times New Roman" w:hAnsi="Times New Roman"/>
          <w:b/>
          <w:i w:val="0"/>
          <w:sz w:val="26"/>
        </w:rPr>
        <w:t>7.1. Kiến trúc ứng dụng Web tương tác Streamlit</w:t>
      </w:r>
    </w:p>
    <w:p>
      <w:pPr>
        <w:spacing w:line="360" w:lineRule="auto" w:after="120"/>
        <w:jc w:val="both"/>
      </w:pPr>
      <w:r>
        <w:rPr>
          <w:rFonts w:ascii="Times New Roman" w:hAnsi="Times New Roman"/>
          <w:i w:val="0"/>
          <w:sz w:val="26"/>
        </w:rPr>
        <w:t>Chương trình demo giao diện đồ họa được xây dựng hoàn chỉnh bằng thư viện Streamlit (demo/app.py) với thiết kế trực quan, khoa học, thân thiện với người dùng y khoa:</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Sidebar điều khiển bên trái: Cho phép người dùng lựa chọn nhanh 20 ảnh mẫu có sẵn từ TCGA-LGG Benchmark hoặc tải ảnh chụp từ máy tính cá nhân. Cung cấp thanh chọn giải thuật (Watershed vs. Region Growing) và các thanh trượt (slider) tinh chỉnh siêu tham số trực tiếp theo thời gian thực.</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Khu vực hiển thị kết quả trung tâm: Hiển thị 5 thẻ chỉ số chẩn đoán định lượng (KPI Metric Cards) nổi bật: Diện tích u (pixel), Tỷ lệ % u/não, Độ tròn bờ u Circularity, Điểm Dice và Chỉ số IoU so với Ground Truth.</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Lưới hiển thị đa chế độ (Quad Display): Bố trí 4 khung ảnh song song giúp bác sĩ đối chiếu trực quan toàn bộ tiến trình chẩn đoán: [1. Ảnh MRI gốc | 2. Ảnh não sạch sọ | 3. Mặt nạ phân đoạn u | 4. Ảnh khoanh vùng Bounding Box đỏ].</w:t>
      </w:r>
    </w:p>
    <w:p>
      <w:pPr>
        <w:keepNext/>
        <w:spacing w:before="200" w:after="80" w:line="360" w:lineRule="auto"/>
      </w:pPr>
      <w:r>
        <w:rPr>
          <w:rFonts w:ascii="Times New Roman" w:hAnsi="Times New Roman"/>
          <w:b/>
          <w:i w:val="0"/>
          <w:sz w:val="26"/>
        </w:rPr>
        <w:t>7.2. Hướng dẫn khởi chạy ứng dụng</w:t>
      </w:r>
    </w:p>
    <w:p>
      <w:pPr>
        <w:spacing w:line="360" w:lineRule="auto" w:after="120"/>
        <w:jc w:val="both"/>
      </w:pPr>
      <w:r>
        <w:rPr>
          <w:rFonts w:ascii="Times New Roman" w:hAnsi="Times New Roman"/>
          <w:i w:val="0"/>
          <w:sz w:val="26"/>
        </w:rPr>
        <w:t>Người dùng chỉ cần thực thi câu lệnh duy nhất từ thư mục gốc của dự án:</w:t>
      </w:r>
    </w:p>
    <w:p>
      <w:pPr>
        <w:spacing w:line="360" w:lineRule="auto" w:after="120"/>
        <w:jc w:val="both"/>
      </w:pPr>
      <w:r>
        <w:rPr>
          <w:rFonts w:ascii="Times New Roman" w:hAnsi="Times New Roman"/>
          <w:b/>
          <w:sz w:val="26"/>
        </w:rPr>
        <w:t xml:space="preserve">Lệnh chạy: </w:t>
      </w:r>
      <w:r>
        <w:rPr>
          <w:rFonts w:ascii="Times New Roman" w:hAnsi="Times New Roman"/>
          <w:i/>
          <w:sz w:val="26"/>
        </w:rPr>
        <w:t>streamlit run demo/app.py</w:t>
      </w:r>
    </w:p>
    <w:p>
      <w:pPr>
        <w:spacing w:line="360" w:lineRule="auto" w:after="120"/>
        <w:jc w:val="both"/>
      </w:pPr>
      <w:r>
        <w:rPr>
          <w:rFonts w:ascii="Times New Roman" w:hAnsi="Times New Roman"/>
          <w:i w:val="0"/>
          <w:sz w:val="26"/>
        </w:rPr>
        <w:t>Giao diện ứng dụng sẽ tự động mở trên trình duyệt tại địa chỉ http://localhost:8501 sẵn sàng tương tác.</w:t>
      </w:r>
    </w:p>
    <w:p>
      <w:pPr>
        <w:keepNext/>
        <w:spacing w:before="280" w:after="120" w:line="360" w:lineRule="auto"/>
      </w:pPr>
      <w:r>
        <w:rPr>
          <w:rFonts w:ascii="Times New Roman" w:hAnsi="Times New Roman"/>
          <w:b/>
          <w:i w:val="0"/>
          <w:sz w:val="26"/>
        </w:rPr>
        <w:t>8. KẾT LUẬN VÀ HƯỚNG PHÁT TRIỂN</w:t>
      </w:r>
    </w:p>
    <w:p>
      <w:pPr>
        <w:keepNext/>
        <w:spacing w:before="200" w:after="80" w:line="360" w:lineRule="auto"/>
      </w:pPr>
      <w:r>
        <w:rPr>
          <w:rFonts w:ascii="Times New Roman" w:hAnsi="Times New Roman"/>
          <w:b/>
          <w:i w:val="0"/>
          <w:sz w:val="26"/>
        </w:rPr>
        <w:t>8.1. Các kết quả chính đạt được</w:t>
      </w:r>
    </w:p>
    <w:p>
      <w:pPr>
        <w:spacing w:line="360" w:lineRule="auto" w:after="120"/>
        <w:jc w:val="both"/>
      </w:pPr>
      <w:r>
        <w:rPr>
          <w:rFonts w:ascii="Times New Roman" w:hAnsi="Times New Roman"/>
          <w:i w:val="0"/>
          <w:sz w:val="26"/>
        </w:rPr>
        <w:t>Sau quá trình nghiên cứu lý thuyết, thiết kế kiến trúc và triển khai thực nghiệm chặt chẽ, đề tài đã hoàn thành xuất sắc toàn bộ các mục tiêu đặt ra:</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Xây dựng thành công pipeline xử lý ảnh số khép kín, tự động 100% từ tiền xử lý, tách sọ não, phân đoạn u, trích xuất đặc trưng hình học đến trực quan hóa.</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Giải quyết triệt để bài toán Tách sọ não (Skull Stripping) bằng kỹ thuật hình thái học thuần túy (Otsu + Opening + LCC + Hole Filling), loại bỏ 100% xương sọ.</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Hiện thực hóa và đối chứng thực nghiệm bài bản giữa 2 giải thuật Marker-controlled Watershed và Seeded Region Growing, đạt điểm Dice trung bình 0.8124 với thời gian xử lý siêu nhanh dưới 20ms/ảnh.</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Xây dựng hoàn chỉnh hệ thống 4 Jupyter Notebooks phục vụ giảng dạy/nghiên cứu cùng ứng dụng Web Demo GUI Streamlit tương tác thời gian thực.</w:t>
      </w:r>
    </w:p>
    <w:p>
      <w:pPr>
        <w:keepNext/>
        <w:spacing w:before="200" w:after="80" w:line="360" w:lineRule="auto"/>
      </w:pPr>
      <w:r>
        <w:rPr>
          <w:rFonts w:ascii="Times New Roman" w:hAnsi="Times New Roman"/>
          <w:b/>
          <w:i w:val="0"/>
          <w:sz w:val="26"/>
        </w:rPr>
        <w:t>8.2. Hạn chế và Hướng nghiên cứu mở rộng</w:t>
      </w:r>
    </w:p>
    <w:p>
      <w:pPr>
        <w:spacing w:line="360" w:lineRule="auto" w:after="120"/>
        <w:jc w:val="both"/>
      </w:pPr>
      <w:r>
        <w:rPr>
          <w:rFonts w:ascii="Times New Roman" w:hAnsi="Times New Roman"/>
          <w:i w:val="0"/>
          <w:sz w:val="26"/>
        </w:rPr>
        <w:t>Bên cạnh các thành tựu đạt được, hệ thống vẫn tồn tại một số giới hạn kỹ thuật gợi mở các hướng phát triển tiếp theo:</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Mở rộng từ không gian 2D sang 3D: Nâng cấp giải thuật để xử lý toàn bộ tập lát cắt thể tích 3D (Voxel), tái tạo mô hình khối u 3D trực quan trong không gian não bộ.</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Kết hợp đặc trưng kết cấu GLCM (Haralick Texture Features): Tích hợp ma trận đồng hiện mức xám để phân biệt chính xác hơn các ca u có bờ mờ và vùng phù nề.</w:t>
      </w:r>
    </w:p>
    <w:p>
      <w:pPr>
        <w:spacing w:line="360" w:lineRule="auto" w:after="120"/>
        <w:ind w:left="425"/>
        <w:jc w:val="both"/>
      </w:pPr>
      <w:r>
        <w:rPr>
          <w:rFonts w:ascii="Times New Roman" w:hAnsi="Times New Roman"/>
          <w:b/>
          <w:sz w:val="26"/>
        </w:rPr>
        <w:t xml:space="preserve">• </w:t>
      </w:r>
      <w:r>
        <w:rPr>
          <w:rFonts w:ascii="Times New Roman" w:hAnsi="Times New Roman"/>
          <w:i w:val="0"/>
          <w:sz w:val="26"/>
        </w:rPr>
        <w:t>Mở rộng phân loại đa nhóm u não (Multi-class Classification): Ứng dụng các bộ trích chọn đặc trưng hình học và kết cấu kết hợp với bộ phân lớp máy học cổ điển (SVM, Random Forest) để tự động phân loại u tế bào đệm (Glioma), u màng não (Meningioma) và u tuyến yên (Pituitary Tumor).</w:t>
      </w:r>
    </w:p>
    <w:p>
      <w:pPr>
        <w:keepNext/>
        <w:spacing w:before="280" w:after="120" w:line="360" w:lineRule="auto"/>
      </w:pPr>
      <w:r>
        <w:rPr>
          <w:rFonts w:ascii="Times New Roman" w:hAnsi="Times New Roman"/>
          <w:b/>
          <w:i w:val="0"/>
          <w:sz w:val="26"/>
        </w:rPr>
        <w:t>TÀI LIỆU THAM KHẢO</w:t>
      </w:r>
    </w:p>
    <w:p>
      <w:pPr>
        <w:spacing w:line="360" w:lineRule="auto" w:after="80"/>
        <w:ind w:left="425"/>
      </w:pPr>
      <w:r>
        <w:rPr>
          <w:rFonts w:ascii="Times New Roman" w:hAnsi="Times New Roman"/>
          <w:b/>
          <w:sz w:val="26"/>
        </w:rPr>
        <w:t xml:space="preserve">[1] </w:t>
      </w:r>
      <w:r>
        <w:rPr>
          <w:rFonts w:ascii="Times New Roman" w:hAnsi="Times New Roman"/>
          <w:sz w:val="26"/>
        </w:rPr>
        <w:t>Gonzalez, R. C., &amp; Woods, R. E. (2018). Digital Image Processing (4th Edition). Pearson Education, Inc.</w:t>
      </w:r>
    </w:p>
    <w:p>
      <w:pPr>
        <w:spacing w:line="360" w:lineRule="auto" w:after="80"/>
        <w:ind w:left="425"/>
      </w:pPr>
      <w:r>
        <w:rPr>
          <w:rFonts w:ascii="Times New Roman" w:hAnsi="Times New Roman"/>
          <w:b/>
          <w:sz w:val="26"/>
        </w:rPr>
        <w:t xml:space="preserve">[2] </w:t>
      </w:r>
      <w:r>
        <w:rPr>
          <w:rFonts w:ascii="Times New Roman" w:hAnsi="Times New Roman"/>
          <w:sz w:val="26"/>
        </w:rPr>
        <w:t>Buda, M., Saha, A., &amp; Mazurowski, M. A. (2019). Association of genomic subtypes of lower-grade gliomas with shape features automatically extracted by a deep learning algorithm. Computers in Biology and Medicine, 109, 218-225.</w:t>
      </w:r>
    </w:p>
    <w:p>
      <w:pPr>
        <w:spacing w:line="360" w:lineRule="auto" w:after="80"/>
        <w:ind w:left="425"/>
      </w:pPr>
      <w:r>
        <w:rPr>
          <w:rFonts w:ascii="Times New Roman" w:hAnsi="Times New Roman"/>
          <w:b/>
          <w:sz w:val="26"/>
        </w:rPr>
        <w:t xml:space="preserve">[3] </w:t>
      </w:r>
      <w:r>
        <w:rPr>
          <w:rFonts w:ascii="Times New Roman" w:hAnsi="Times New Roman"/>
          <w:sz w:val="26"/>
        </w:rPr>
        <w:t>Giáo trình Xử lý ảnh số (2026). Khoa Công nghệ Thông tin — Trường Đại học Công Thương TP. Hồ Chí Minh (HUIT).</w:t>
      </w:r>
    </w:p>
    <w:p>
      <w:pPr>
        <w:spacing w:line="360" w:lineRule="auto" w:after="80"/>
        <w:ind w:left="425"/>
      </w:pPr>
      <w:r>
        <w:rPr>
          <w:rFonts w:ascii="Times New Roman" w:hAnsi="Times New Roman"/>
          <w:b/>
          <w:sz w:val="26"/>
        </w:rPr>
        <w:t xml:space="preserve">[4] </w:t>
      </w:r>
      <w:r>
        <w:rPr>
          <w:rFonts w:ascii="Times New Roman" w:hAnsi="Times New Roman"/>
          <w:sz w:val="26"/>
        </w:rPr>
        <w:t>Bradski, G. (2000). The OpenCV Library. Dr. Dobb's Journal of Software Tools.</w:t>
      </w:r>
    </w:p>
    <w:p>
      <w:pPr>
        <w:spacing w:line="360" w:lineRule="auto" w:after="80"/>
        <w:ind w:left="425"/>
      </w:pPr>
      <w:r>
        <w:rPr>
          <w:rFonts w:ascii="Times New Roman" w:hAnsi="Times New Roman"/>
          <w:b/>
          <w:sz w:val="26"/>
        </w:rPr>
        <w:t xml:space="preserve">[5] </w:t>
      </w:r>
      <w:r>
        <w:rPr>
          <w:rFonts w:ascii="Times New Roman" w:hAnsi="Times New Roman"/>
          <w:sz w:val="26"/>
        </w:rPr>
        <w:t>Tomasi, C., &amp; Manduchi, R. (1998). Bilateral filtering for gray and color images. In Proceedings of the Sixth International Conference on Computer Vision (ICCV), 839-846.</w:t>
      </w:r>
    </w:p>
    <w:p>
      <w:pPr>
        <w:spacing w:line="360" w:lineRule="auto" w:after="80"/>
        <w:ind w:left="425"/>
      </w:pPr>
      <w:r>
        <w:rPr>
          <w:rFonts w:ascii="Times New Roman" w:hAnsi="Times New Roman"/>
          <w:b/>
          <w:sz w:val="26"/>
        </w:rPr>
        <w:t xml:space="preserve">[6] </w:t>
      </w:r>
      <w:r>
        <w:rPr>
          <w:rFonts w:ascii="Times New Roman" w:hAnsi="Times New Roman"/>
          <w:sz w:val="26"/>
        </w:rPr>
        <w:t>Meyer, F. (1994). Topographic distance and watershed lines. Signal Processing, 38(1), 113-125.</w:t>
      </w:r>
    </w:p>
    <w:p>
      <w:pPr>
        <w:spacing w:line="360" w:lineRule="auto" w:after="80"/>
        <w:ind w:left="425"/>
      </w:pPr>
      <w:r>
        <w:rPr>
          <w:rFonts w:ascii="Times New Roman" w:hAnsi="Times New Roman"/>
          <w:b/>
          <w:sz w:val="26"/>
        </w:rPr>
        <w:t xml:space="preserve">[7] </w:t>
      </w:r>
      <w:r>
        <w:rPr>
          <w:rFonts w:ascii="Times New Roman" w:hAnsi="Times New Roman"/>
          <w:sz w:val="26"/>
        </w:rPr>
        <w:t>Adams, R., &amp; Bischof, L. (1994). Seeded region growing. IEEE Transactions on Pattern Analysis and Machine Intelligence, 16(6), 641-647.</w:t>
      </w:r>
    </w:p>
    <w:p>
      <w:pPr>
        <w:keepNext/>
        <w:spacing w:before="280" w:after="120" w:line="360" w:lineRule="auto"/>
      </w:pPr>
      <w:r>
        <w:rPr>
          <w:rFonts w:ascii="Times New Roman" w:hAnsi="Times New Roman"/>
          <w:b/>
          <w:i w:val="0"/>
          <w:sz w:val="26"/>
        </w:rPr>
        <w:t>PHỤ LỤC: HƯỚNG DẪN CÀI ĐẶT &amp; THỰC THI TOÀN BỘ DỰ ÁN</w:t>
      </w:r>
    </w:p>
    <w:p>
      <w:pPr>
        <w:spacing w:line="360" w:lineRule="auto" w:after="120"/>
        <w:jc w:val="both"/>
      </w:pPr>
      <w:r>
        <w:rPr>
          <w:rFonts w:ascii="Times New Roman" w:hAnsi="Times New Roman"/>
          <w:i w:val="0"/>
          <w:sz w:val="26"/>
        </w:rPr>
        <w:t>Để cài đặt môi trường và tái hiện lại 100% kết quả thực nghiệm của đồ án, vui lòng thực hiện các bước sau:</w:t>
      </w:r>
    </w:p>
    <w:p>
      <w:pPr>
        <w:spacing w:line="360" w:lineRule="auto" w:after="120"/>
        <w:jc w:val="both"/>
      </w:pPr>
      <w:r>
        <w:rPr>
          <w:rFonts w:ascii="Times New Roman" w:hAnsi="Times New Roman"/>
          <w:b/>
          <w:sz w:val="26"/>
        </w:rPr>
        <w:t xml:space="preserve">Bước 1 (Clone mã nguồn): </w:t>
      </w:r>
      <w:r>
        <w:rPr>
          <w:rFonts w:ascii="Times New Roman" w:hAnsi="Times New Roman"/>
          <w:i/>
          <w:sz w:val="26"/>
        </w:rPr>
        <w:t>git clone https://github.com/mtzwyu/brain-tumor-mri-segmentation.git</w:t>
      </w:r>
    </w:p>
    <w:p>
      <w:pPr>
        <w:spacing w:line="360" w:lineRule="auto" w:after="120"/>
        <w:jc w:val="both"/>
      </w:pPr>
      <w:r>
        <w:rPr>
          <w:rFonts w:ascii="Times New Roman" w:hAnsi="Times New Roman"/>
          <w:b/>
          <w:sz w:val="26"/>
        </w:rPr>
        <w:t xml:space="preserve">Bước 2 (Cài đặt thư viện): </w:t>
      </w:r>
      <w:r>
        <w:rPr>
          <w:rFonts w:ascii="Times New Roman" w:hAnsi="Times New Roman"/>
          <w:i/>
          <w:sz w:val="26"/>
        </w:rPr>
        <w:t>pip install -r requirements.txt</w:t>
      </w:r>
    </w:p>
    <w:p>
      <w:pPr>
        <w:spacing w:line="360" w:lineRule="auto" w:after="120"/>
        <w:jc w:val="both"/>
      </w:pPr>
      <w:r>
        <w:rPr>
          <w:rFonts w:ascii="Times New Roman" w:hAnsi="Times New Roman"/>
          <w:b/>
          <w:sz w:val="26"/>
        </w:rPr>
        <w:t xml:space="preserve">Bước 3 (Chuẩn bị 20 mẫu ảnh TCGA-LGG): </w:t>
      </w:r>
      <w:r>
        <w:rPr>
          <w:rFonts w:ascii="Times New Roman" w:hAnsi="Times New Roman"/>
          <w:i/>
          <w:sz w:val="26"/>
        </w:rPr>
        <w:t>python scripts/download_sample_data.py</w:t>
      </w:r>
    </w:p>
    <w:p>
      <w:pPr>
        <w:spacing w:line="360" w:lineRule="auto" w:after="120"/>
        <w:jc w:val="both"/>
      </w:pPr>
      <w:r>
        <w:rPr>
          <w:rFonts w:ascii="Times New Roman" w:hAnsi="Times New Roman"/>
          <w:b/>
          <w:sz w:val="26"/>
        </w:rPr>
        <w:t xml:space="preserve">Bước 4 (Chạy 12 bài kiểm thử tự động): </w:t>
      </w:r>
      <w:r>
        <w:rPr>
          <w:rFonts w:ascii="Times New Roman" w:hAnsi="Times New Roman"/>
          <w:i/>
          <w:sz w:val="26"/>
        </w:rPr>
        <w:t>pytest tests/ -v</w:t>
      </w:r>
    </w:p>
    <w:p>
      <w:pPr>
        <w:spacing w:line="360" w:lineRule="auto" w:after="120"/>
        <w:jc w:val="both"/>
      </w:pPr>
      <w:r>
        <w:rPr>
          <w:rFonts w:ascii="Times New Roman" w:hAnsi="Times New Roman"/>
          <w:b/>
          <w:sz w:val="26"/>
        </w:rPr>
        <w:t xml:space="preserve">Bước 5 (Chạy toàn bộ thực nghiệm định lượng): </w:t>
      </w:r>
      <w:r>
        <w:rPr>
          <w:rFonts w:ascii="Times New Roman" w:hAnsi="Times New Roman"/>
          <w:i/>
          <w:sz w:val="26"/>
        </w:rPr>
        <w:t>python scripts/run_all_experiments.py</w:t>
      </w:r>
    </w:p>
    <w:p>
      <w:pPr>
        <w:spacing w:line="360" w:lineRule="auto" w:after="120"/>
        <w:jc w:val="both"/>
      </w:pPr>
      <w:r>
        <w:rPr>
          <w:rFonts w:ascii="Times New Roman" w:hAnsi="Times New Roman"/>
          <w:b/>
          <w:sz w:val="26"/>
        </w:rPr>
        <w:t xml:space="preserve">Bước 6 (Khởi chạy Web Demo GUI): </w:t>
      </w:r>
      <w:r>
        <w:rPr>
          <w:rFonts w:ascii="Times New Roman" w:hAnsi="Times New Roman"/>
          <w:i/>
          <w:sz w:val="26"/>
        </w:rPr>
        <w:t>streamlit run demo/app.py</w:t>
      </w:r>
    </w:p>
    <w:sectPr w:rsidR="00FC693F" w:rsidRPr="0006063C"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