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40"/>
        <w:jc w:val="center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情绪树洞 · 后端功能介绍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19"/>
          <w:szCs w:val="19"/>
        </w:rPr>
        <w:t xml:space="preserve">风险分级预警与闭环处置 —— 一级（红）即时转介 ｜ 二级（橙）升级联动 ｜ 三级（黄）评估留痕</w:t>
      </w:r>
    </w:p>
    <w:p>
      <w:pPr>
        <w:spacing w:after="40" w:line="260"/>
      </w:pPr>
      <w:r>
        <w:rPr>
          <w:rFonts w:ascii="Arial" w:eastAsia="Microsoft YaHei" w:hAnsi="Arial"/>
          <w:sz w:val="19"/>
          <w:szCs w:val="19"/>
        </w:rPr>
        <w:t xml:space="preserve">平台对每一轮倾诉对话进行风险实时评估与分级（</w:t>
      </w:r>
      <w:r>
        <w:rPr>
          <w:rFonts w:ascii="Arial" w:eastAsia="Microsoft YaHei" w:hAnsi="Arial"/>
          <w:b/>
          <w:bCs/>
          <w:sz w:val="19"/>
          <w:szCs w:val="19"/>
        </w:rPr>
        <w:t xml:space="preserve">一级红 / 二级橙 / 三级黄 / 四级蓝</w:t>
      </w:r>
      <w:r>
        <w:rPr>
          <w:rFonts w:ascii="Arial" w:eastAsia="Microsoft YaHei" w:hAnsi="Arial"/>
          <w:sz w:val="19"/>
          <w:szCs w:val="19"/>
        </w:rPr>
        <w:t xml:space="preserve">）。评级由大模型风险推理给出（服务异常时自动切换规则引擎兜底），并叠加“多模态矛盾信号提升”“历史趋势恶化提升”两级修正，等级只升不降；全部处置动作系统留痕、可查可溯。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color w:val="1F4E79"/>
          <w:sz w:val="22"/>
          <w:szCs w:val="22"/>
        </w:rPr>
        <w:t xml:space="preserve">一、赛题三级处置要求逐条对应实现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156"/>
      </w:tblGrid>
      <w:tr>
        <w:trPr>
          <w:cantSplit/>
        </w:trPr>
        <w:tc>
          <w:tcPr>
            <w:tcW w:type="dxa" w:w="3050"/>
            <w:tcBorders>
              <w:top w:val="single" w:color="9DB8D2" w:sz="4"/>
              <w:left w:val="single" w:color="9DB8D2" w:sz="4"/>
              <w:bottom w:val="single" w:color="9DB8D2" w:sz="4"/>
              <w:right w:val="single" w:color="9DB8D2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一级 · 极高风险（红色预警）</w:t>
            </w:r>
          </w:p>
          <w:p>
            <w:pPr>
              <w:spacing w:after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“立即触发转介”</w:t>
            </w:r>
          </w:p>
        </w:tc>
        <w:tc>
          <w:tcPr>
            <w:tcW w:type="dxa" w:w="7156"/>
            <w:tcBorders>
              <w:top w:val="single" w:color="9DB8D2" w:sz="4"/>
              <w:left w:val="single" w:color="9DB8D2" w:sz="4"/>
              <w:bottom w:val="single" w:color="9DB8D2" w:sz="4"/>
              <w:right w:val="single" w:color="9DB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① 风险引擎判为一级时，数字人回复即时植入心理援助热线（12356）转介话术，先安抚后转介；</w:t>
            </w:r>
          </w:p>
          <w:p>
            <w:pPr>
              <w:spacing w:after="2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② 系统同步自动生成一级预警工单，记录触发原因与来源会话，供后台人工复核处置。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9DB8D2" w:sz="4"/>
              <w:left w:val="single" w:color="9DB8D2" w:sz="4"/>
              <w:bottom w:val="single" w:color="9DB8D2" w:sz="4"/>
              <w:right w:val="single" w:color="9DB8D2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一级</w:t>
            </w:r>
          </w:p>
          <w:p>
            <w:pPr>
              <w:spacing w:after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“记录并触发后台人工跟进机制”</w:t>
            </w:r>
          </w:p>
        </w:tc>
        <w:tc>
          <w:tcPr>
            <w:tcW w:type="dxa" w:w="7156"/>
            <w:tcBorders>
              <w:top w:val="single" w:color="9DB8D2" w:sz="4"/>
              <w:left w:val="single" w:color="9DB8D2" w:sz="4"/>
              <w:bottom w:val="single" w:color="9DB8D2" w:sz="4"/>
              <w:right w:val="single" w:color="9DB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③ 工单进入管理后台“预警记录”待跟进队列，按状态机闭环：待跟进 → 跟进中 → 已解决 / 误报；</w:t>
            </w:r>
          </w:p>
          <w:p>
            <w:pPr>
              <w:spacing w:after="2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④ 跟进时间线全程留痕：操作人、状态流转前后、处理备注逐条记录，不可篡改；</w:t>
            </w:r>
          </w:p>
          <w:p>
            <w:pPr>
              <w:spacing w:after="2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⑤ 数据驾驶舱顶部红色横幅实时提示未闭环红警数量（点击直达），列表红警置顶展示。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9DB8D2" w:sz="4"/>
              <w:left w:val="single" w:color="9DB8D2" w:sz="4"/>
              <w:bottom w:val="single" w:color="9DB8D2" w:sz="4"/>
              <w:right w:val="single" w:color="9DB8D2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高风险（橙色预警）</w:t>
            </w:r>
          </w:p>
          <w:p>
            <w:pPr>
              <w:spacing w:after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“加强关注与引导；持续关注对话走向，恶化则升级为一级处置”</w:t>
            </w:r>
          </w:p>
        </w:tc>
        <w:tc>
          <w:tcPr>
            <w:tcW w:type="dxa" w:w="7156"/>
            <w:tcBorders>
              <w:top w:val="single" w:color="9DB8D2" w:sz="4"/>
              <w:left w:val="single" w:color="9DB8D2" w:sz="4"/>
              <w:bottom w:val="single" w:color="9DB8D2" w:sz="4"/>
              <w:right w:val="single" w:color="9DB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⑥ 判为二级时自动生成橙色工单，纳入关注与引导流程；</w:t>
            </w:r>
          </w:p>
          <w:p>
            <w:pPr>
              <w:spacing w:after="2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⑦ 同一用户后续对话被评估为一级时，系统自动将原橙单升级为红单：不另建新单、保留完整处置链路，写入升级来源、升级时间与升级原因，时间线自动追加“系统升级”留痕，工单重回待办队列优先处置。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9DB8D2" w:sz="4"/>
              <w:left w:val="single" w:color="9DB8D2" w:sz="4"/>
              <w:bottom w:val="single" w:color="9DB8D2" w:sz="4"/>
              <w:right w:val="single" w:color="9DB8D2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三级 · 中风险（黄色预警）</w:t>
            </w:r>
          </w:p>
          <w:p>
            <w:pPr>
              <w:spacing w:after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“共情疏导与正常化，无需强制转介，保留升级评估机制”</w:t>
            </w:r>
          </w:p>
        </w:tc>
        <w:tc>
          <w:tcPr>
            <w:tcW w:type="dxa" w:w="7156"/>
            <w:tcBorders>
              <w:top w:val="single" w:color="9DB8D2" w:sz="4"/>
              <w:left w:val="single" w:color="9DB8D2" w:sz="4"/>
              <w:bottom w:val="single" w:color="9DB8D2" w:sz="4"/>
              <w:right w:val="single" w:color="9DB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⑧ 三级不建转介工单，由数字人进行共情疏导与正常化回应；</w:t>
            </w:r>
          </w:p>
          <w:p>
            <w:pPr>
              <w:spacing w:after="2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⑨ 每次评估自动留痕：最终等级、评估原因、近 3 次风险轨迹（如 2→1→3）；</w:t>
            </w:r>
          </w:p>
          <w:p>
            <w:pPr>
              <w:spacing w:after="2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⑩ 管理后台“黄色观察”视图可按“维持疏导 / 已升级”筛选，一旦恶化即升级进入橙 / 红处置链路。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color w:val="1F4E79"/>
          <w:sz w:val="22"/>
          <w:szCs w:val="22"/>
        </w:rPr>
        <w:t xml:space="preserve">二、风险处置链路</w:t>
      </w:r>
    </w:p>
    <w:p>
      <w:pPr>
        <w:spacing w:after="30" w:line="250"/>
        <w:ind w:left="0"/>
      </w:pPr>
      <w:r>
        <w:rPr>
          <w:rFonts w:ascii="Arial" w:eastAsia="Microsoft YaHei" w:hAnsi="Arial"/>
          <w:b/>
          <w:bCs/>
          <w:sz w:val="18"/>
          <w:szCs w:val="18"/>
        </w:rPr>
        <w:t xml:space="preserve">用户倾诉</w:t>
      </w:r>
      <w:r>
        <w:rPr>
          <w:rFonts w:ascii="Arial" w:eastAsia="Microsoft YaHei" w:hAnsi="Arial"/>
          <w:b w:val="false"/>
          <w:bCs w:val="false"/>
          <w:sz w:val="18"/>
          <w:szCs w:val="18"/>
        </w:rPr>
        <w:t xml:space="preserve"> → </w:t>
      </w:r>
      <w:r>
        <w:rPr>
          <w:rFonts w:ascii="Arial" w:eastAsia="Microsoft YaHei" w:hAnsi="Arial"/>
          <w:b/>
          <w:bCs/>
          <w:color w:val="C00000"/>
          <w:sz w:val="18"/>
          <w:szCs w:val="18"/>
        </w:rPr>
        <w:t xml:space="preserve">风险评估引擎</w:t>
      </w:r>
      <w:r>
        <w:rPr>
          <w:rFonts w:ascii="Arial" w:eastAsia="Microsoft YaHei" w:hAnsi="Arial"/>
          <w:b w:val="false"/>
          <w:bCs w:val="false"/>
          <w:sz w:val="18"/>
          <w:szCs w:val="18"/>
        </w:rPr>
        <w:t xml:space="preserve">（LLM 风险推理｜规则引擎兜底｜矛盾信号提升｜趋势恶化提升） → 分级分流：</w:t>
      </w:r>
    </w:p>
    <w:p>
      <w:pPr>
        <w:spacing w:after="30" w:line="250"/>
        <w:ind w:left="200"/>
      </w:pPr>
      <w:r>
        <w:rPr>
          <w:rFonts w:ascii="Arial" w:eastAsia="Microsoft YaHei" w:hAnsi="Arial"/>
          <w:b/>
          <w:bCs/>
          <w:color w:val="C00000"/>
          <w:sz w:val="18"/>
          <w:szCs w:val="18"/>
        </w:rPr>
        <w:t xml:space="preserve">■ 一级（红）</w:t>
      </w:r>
      <w:r>
        <w:rPr>
          <w:rFonts w:ascii="Arial" w:eastAsia="Microsoft YaHei" w:hAnsi="Arial"/>
          <w:b w:val="false"/>
          <w:bCs w:val="false"/>
          <w:sz w:val="18"/>
          <w:szCs w:val="18"/>
        </w:rPr>
        <w:t xml:space="preserve"> → 转介话术＋生成一级工单 → 驾驶舱红色横幅告警＋列表置顶 → 人工跟进（状态机＋时间线留痕） → 闭环</w:t>
      </w:r>
    </w:p>
    <w:p>
      <w:pPr>
        <w:spacing w:after="30" w:line="250"/>
        <w:ind w:left="200"/>
      </w:pPr>
      <w:r>
        <w:rPr>
          <w:rFonts w:ascii="Arial" w:eastAsia="Microsoft YaHei" w:hAnsi="Arial"/>
          <w:b/>
          <w:bCs/>
          <w:color w:val="E36C09"/>
          <w:sz w:val="18"/>
          <w:szCs w:val="18"/>
        </w:rPr>
        <w:t xml:space="preserve">■ 二级（橙）</w:t>
      </w:r>
      <w:r>
        <w:rPr>
          <w:rFonts w:ascii="Arial" w:eastAsia="Microsoft YaHei" w:hAnsi="Arial"/>
          <w:b w:val="false"/>
          <w:bCs w:val="false"/>
          <w:sz w:val="18"/>
          <w:szCs w:val="18"/>
        </w:rPr>
        <w:t xml:space="preserve"> → 生成橙单加强关注引导 →【对话走向恶化】自动升级为红单 → 进入一级处置链路</w:t>
      </w:r>
    </w:p>
    <w:p>
      <w:pPr>
        <w:spacing w:after="30" w:line="250"/>
        <w:ind w:left="200"/>
      </w:pPr>
      <w:r>
        <w:rPr>
          <w:rFonts w:ascii="Arial" w:eastAsia="Microsoft YaHei" w:hAnsi="Arial"/>
          <w:b/>
          <w:bCs/>
          <w:color w:val="BF9000"/>
          <w:sz w:val="18"/>
          <w:szCs w:val="18"/>
        </w:rPr>
        <w:t xml:space="preserve">■ 三级（黄）</w:t>
      </w:r>
      <w:r>
        <w:rPr>
          <w:rFonts w:ascii="Arial" w:eastAsia="Microsoft YaHei" w:hAnsi="Arial"/>
          <w:b w:val="false"/>
          <w:bCs w:val="false"/>
          <w:sz w:val="18"/>
          <w:szCs w:val="18"/>
        </w:rPr>
        <w:t xml:space="preserve"> → 共情疏导与正常化（不强制转介） → 评估留痕＋近 3 次轨迹观察 →【恶化】升级进入橙 / 红链路</w:t>
      </w:r>
    </w:p>
    <w:p>
      <w:pPr>
        <w:spacing w:after="30" w:line="250"/>
        <w:ind w:left="200"/>
      </w:pPr>
      <w:r>
        <w:rPr>
          <w:rFonts w:ascii="Arial" w:eastAsia="Microsoft YaHei" w:hAnsi="Arial"/>
          <w:b/>
          <w:bCs/>
          <w:color w:val="2E75B6"/>
          <w:sz w:val="18"/>
          <w:szCs w:val="18"/>
        </w:rPr>
        <w:t xml:space="preserve">■ 四级（蓝）</w:t>
      </w:r>
      <w:r>
        <w:rPr>
          <w:rFonts w:ascii="Arial" w:eastAsia="Microsoft YaHei" w:hAnsi="Arial"/>
          <w:b w:val="false"/>
          <w:bCs w:val="false"/>
          <w:sz w:val="18"/>
          <w:szCs w:val="18"/>
        </w:rPr>
        <w:t xml:space="preserve"> → 常规陪伴疏导，不触发预警</w:t>
      </w:r>
    </w:p>
    <w:p>
      <w:pPr>
        <w:spacing w:after="60" w:before="140"/>
      </w:pPr>
      <w:r>
        <w:rPr>
          <w:rFonts w:ascii="Arial" w:eastAsia="Microsoft YaHei" w:hAnsi="Arial"/>
          <w:b/>
          <w:bCs/>
          <w:color w:val="1F4E79"/>
          <w:sz w:val="22"/>
          <w:szCs w:val="22"/>
        </w:rPr>
        <w:t xml:space="preserve">三、管理端支撑能力</w:t>
      </w:r>
    </w:p>
    <w:p>
      <w:pPr>
        <w:spacing w:after="0" w:line="260"/>
      </w:pPr>
      <w:r>
        <w:rPr>
          <w:rFonts w:ascii="Arial" w:eastAsia="Microsoft YaHei" w:hAnsi="Arial"/>
          <w:sz w:val="19"/>
          <w:szCs w:val="19"/>
        </w:rPr>
        <w:t xml:space="preserve">用户信息脱敏展示、原始对话一键回溯（接口层脱敏）、跟进备注与误报标记、未闭环红警实时统计、预警等级分布统计；</w:t>
      </w:r>
      <w:r>
        <w:rPr>
          <w:rFonts w:ascii="Arial" w:eastAsia="Microsoft YaHei" w:hAnsi="Arial"/>
          <w:b/>
          <w:bCs/>
          <w:sz w:val="19"/>
          <w:szCs w:val="19"/>
        </w:rPr>
        <w:t xml:space="preserve">所有预警的生成、升级、流转、闭环均有系统留痕，满足主管部门监督复核与责任追溯要求。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2026-10-17T06:47:52.400Z</dcterms:created>
  <dcterms:modified xsi:type="dcterms:W3CDTF">2026-10-17T06:47:52.402Z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