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6C36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2025年个人工作总结</w:t>
      </w:r>
    </w:p>
    <w:p w14:paraId="635168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西安理工大学学生就业指导服务中心主任，2025年我始终坚守“以学生为中心”的工作理念，统筹推进就业指导服务提质增效，在团队协作与个人深耕中推动学校就业工作高质量发展。现将全年个人工作情况总结如下：</w:t>
      </w:r>
    </w:p>
    <w:p w14:paraId="60EF9E2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一、锚定核心职责，统筹推进就业工作提质增效</w:t>
      </w:r>
      <w:bookmarkEnd w:id="0"/>
    </w:p>
    <w:p w14:paraId="515CB13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（一）构建分层指导体系，夯实学生就业竞争力</w:t>
      </w:r>
      <w:bookmarkEnd w:id="1"/>
    </w:p>
    <w:p w14:paraId="6EF3C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围绕学生不同阶段就业需求，牵头打造贯穿春秋学期的就业能力提升链。春季学期聚焦基础能力锻造，组织开展41场就业能力培训与职业资格考试辅导，覆盖学生超2400人次，为求职之路筑牢根基；秋季学期推动服务重心下沉，统筹协调招聘会现场服务10期、学院专场指导10期、人才驿站专题帮扶18期，累计为998人次提供一线精准支持。针对高质量就业需求，创新打造“央国企求职训练营”，通过系统化实战培训，助力210名学员精准提升竞争力，有效打通通往重点单位的“最后一公里”。</w:t>
      </w:r>
    </w:p>
    <w:p w14:paraId="5BA4B61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（二）深化以赛促就模式，推动育人成果转化</w:t>
      </w:r>
      <w:bookmarkEnd w:id="2"/>
    </w:p>
    <w:p w14:paraId="46F16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将高水平赛事作为就业提质的重要抓手，牵头组建专项辅导团队，精心组织学生备战第二届全国大学生职业规划大赛，最终斩获</w:t>
      </w:r>
      <w:r>
        <w:rPr>
          <w:rFonts w:hint="eastAsia" w:ascii="Arial" w:hAnsi="Arial" w:eastAsia="等线" w:cs="Arial"/>
          <w:sz w:val="22"/>
          <w:lang w:val="en-US" w:eastAsia="zh-CN"/>
        </w:rPr>
        <w:t>省级金奖2项，全国银奖、铜奖各1项</w:t>
      </w:r>
      <w:r>
        <w:rPr>
          <w:rFonts w:ascii="Arial" w:hAnsi="Arial" w:eastAsia="等线" w:cs="Arial"/>
          <w:sz w:val="22"/>
        </w:rPr>
        <w:t>，实现学校在该赛事中的历史性突</w:t>
      </w:r>
      <w:bookmarkStart w:id="12" w:name="_GoBack"/>
      <w:bookmarkEnd w:id="12"/>
      <w:r>
        <w:rPr>
          <w:rFonts w:ascii="Arial" w:hAnsi="Arial" w:eastAsia="等线" w:cs="Arial"/>
          <w:sz w:val="22"/>
        </w:rPr>
        <w:t>破。同时，积极发挥示范辐射作用，统筹协调优质资源，受邀赴陕西师范大学等5所兄弟院校开展“宏志助航计划”培训12场，将学校就业指导经验向区域延伸，扩大服务覆盖面与影响力。</w:t>
      </w:r>
    </w:p>
    <w:p w14:paraId="05B811F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（三）建强专业师资队伍，提升就业指导能级</w:t>
      </w:r>
      <w:bookmarkEnd w:id="3"/>
    </w:p>
    <w:p w14:paraId="0DAEC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度重视就业工作队伍建设，牵头实施“专业赋能”计划。组织首期“新技术+新职业”专题培训，覆盖14个学院40余名骨干教师，提升队伍专业素养；常态化开展6期主题工作坊，搭建跨学院经验交流平台，促进协同育人。主动对接地方需求，成功承办“2025年西安市大学生就业指导师资培训”，既贡献高校智慧，也提升了学校在区域就业指导领域的话语权。</w:t>
      </w:r>
    </w:p>
    <w:p w14:paraId="30500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全年工作成效显著，2025届毕业生毕业去向落实率达86.66%，持续稳居省属本科高水平院校前列，1名毕业生荣获“全国基层就业卓越奖”，省委副书记、省长赵刚同志来校调研时，对学校就业工作给予充分肯定。</w:t>
      </w:r>
    </w:p>
    <w:p w14:paraId="17CF233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二、兼顾培训学习与工作推进，做到学用结合两不误</w:t>
      </w:r>
      <w:bookmarkEnd w:id="4"/>
    </w:p>
    <w:p w14:paraId="1C4F577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（一）脱产培训不脱岗，统筹协调保推进</w:t>
      </w:r>
      <w:bookmarkEnd w:id="5"/>
    </w:p>
    <w:p w14:paraId="644511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9月1日-12月12日，我有幸参加陕西省委党校中青三班脱产培训。期间，我严格遵守培训纪律，全程参与40余门课程学习，内容涵盖习近平新时代中国特色社会主义思想、中国式现代化、全面深化改革、生态文明建设、法治思想等重要领域，还参与了“总书记的陕西足迹”“弘扬延安精神”等实践教学活动。</w:t>
      </w:r>
    </w:p>
    <w:p w14:paraId="7CB9B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训期间，我始终坚持“工作学习两手抓、两不误”，利用课余时间通过线上方式与中心同事、学校领导保持常态化沟通，每周至少开展2次线上工作调度会，及时跟进就业指导、赛事组织、师资培训等重点工作进度，协调解决招聘会组织、训练营推进等实际问题。针对秋季学期就业高峰期的工作需求，提前制定应急预案，通过线上审批、远程协调等方式，确保10期招聘会、18期人才驿站帮扶等工作顺利落地，未因培训影响工作推进。</w:t>
      </w:r>
    </w:p>
    <w:p w14:paraId="698BC65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（二）深学细悟强本领，以学促干谋新篇</w:t>
      </w:r>
      <w:bookmarkEnd w:id="6"/>
    </w:p>
    <w:p w14:paraId="78672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系统培训，我对党的创新理论有了更深刻的理解，尤其在统筹发展和安全、新质生产力发展、乡村振兴、基层治理等方面的学习，为就业工作提供了全新思路。结合“数字化赋能高质量发展”“文化产业赋能乡村振兴”等课程内容，我深刻认识到就业工作需主动对接国家战略和区域发展需求，回来后牵头梳理了陕西省重点产业人才需求目录，推动就业指导与地方产业发展精准对接。</w:t>
      </w:r>
    </w:p>
    <w:p w14:paraId="3516AD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“全过程人民民主”“以人民为中心”等论述后，我进一步坚定了“以学生为中心”的工作导向，针对毕业生求职中的急难愁盼问题，推动建立“线上+线下”立体化咨询服务体系，提升服务响应速度。借鉴“枫桥经验”基层治理理念，推动就业工作关口前移，加强与学院、用人单位的协同联动，构建多方参与的就业育人格局。</w:t>
      </w:r>
    </w:p>
    <w:p w14:paraId="6ED018A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三、工作亮点与创新点</w:t>
      </w:r>
      <w:bookmarkEnd w:id="7"/>
    </w:p>
    <w:p w14:paraId="2489D80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（一）精准化指导模式成效显著</w:t>
      </w:r>
      <w:bookmarkEnd w:id="8"/>
    </w:p>
    <w:p w14:paraId="5E0EC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构建“春秋分阶段、供需精准配”的指导体系，针对央国企等高质量就业渠道，打造专属训练营，210名学员中多数成功入职重点单位，针对性培训成效突出。分层分类的指导服务让不同需求学生均能获得精准支持，全年超3400人次受益，满意度达95%以上。</w:t>
      </w:r>
    </w:p>
    <w:p w14:paraId="665BCDD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（二）校地校企协同机制不断完善</w:t>
      </w:r>
      <w:bookmarkEnd w:id="9"/>
    </w:p>
    <w:p w14:paraId="1AC76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牵头推动就业资源区域共享，赴兄弟院校开展专题培训，将学校就业指导经验向外输出；承办市级师资培训，深化校地合作，为区域就业工作贡献力量。同时，依托培训中建立的校地联系，拓展用人单位资源，新增优质就业岗位1200余个。</w:t>
      </w:r>
    </w:p>
    <w:p w14:paraId="6933C88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（三）学用结合推动工作创新</w:t>
      </w:r>
      <w:bookmarkEnd w:id="10"/>
    </w:p>
    <w:p w14:paraId="29944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党校学习成果转化为工作实效，结合新质生产力发展要求，推动就业指导内容升级，新增数字化技能、绿色产业就业等前沿课程；借鉴协同治理理念，完善就业工作联动机制，形成学校、学院、用人单位、政府多方协同的就业工作格局。</w:t>
      </w:r>
    </w:p>
    <w:p w14:paraId="24EC403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四、反思与展望</w:t>
      </w:r>
      <w:bookmarkEnd w:id="11"/>
    </w:p>
    <w:p w14:paraId="50C92E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回顾全年工作，虽取得一定成效，但仍存在不足：一是就业指导与新兴产业对接的精准度需进一步提升；二是数字化就业服务平台功能需持续优化。下一步，我将继续深化党校学习成果运用，聚焦以下工作：</w:t>
      </w:r>
    </w:p>
    <w:p w14:paraId="1CA4C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紧扣区域产业发展和新兴产业需求，优化就业指导课程体系，加强数字化、绿色低碳等领域的就业培训，提升学生适配度；二是升级数字化就业服务平台，整合岗位资源、指导课程、咨询服务等功能，实现“一站式”服务；三是进一步拓展校地校企合作深度，建立常态化人才供需对接机制，拓宽就业渠道；四是持续加强就业工作队伍建设，将党校学习的先进理念和方法融入师资培训，提升队伍综合素养。</w:t>
      </w:r>
    </w:p>
    <w:p w14:paraId="6FA57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年的成绩是团队协作的结果，更是学校党委坚强领导的体现。未来，我将以更饱满的热情、更务实的作风，持续深耕就业工作，不断提升就业质量和育人实效，为学校人才培养和区域经济社会发展作出更大贡献。</w:t>
      </w:r>
    </w:p>
    <w:p w14:paraId="4BE8272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3EB3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3F4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D33FF3A"/>
    <w:rsid w:val="7FF500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2025-12-13T16:02:00Z</dcterms:created>
  <dc:creator>Apache POI</dc:creator>
  <cp:lastModifiedBy>狐狐</cp:lastModifiedBy>
  <dcterms:modified xsi:type="dcterms:W3CDTF">2025-12-13T16:06:01Z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D5142859716B773DB71D3D69D8422710_42</vt:lpwstr>
  </property>
</Properties>
</file>