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Biochemistry Enzymology Report</w:t>
      </w:r>
    </w:p>
    <w:p>
      <w:r>
        <w:t>Michaelis-Menten kinetics with embedded diagnostic gel electrophoresis image: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Img"/>
                  </pic:blipFill>
                </pic:pic>
              </a:graphicData>
            </a:graphic>
          </wp:inline>
        </w:drawing>
      </w:r>
    </w:p>
    <w:tbl>
      <w:tr>
        <w:tc>
          <w:p>
            <w:r>
              <w:t>Enzyme</w:t>
            </w:r>
          </w:p>
        </w:tc>
        <w:tc>
          <w:p>
            <w:r>
              <w:t>Km (mM)</w:t>
            </w:r>
          </w:p>
        </w:tc>
      </w:tr>
      <w:tr>
        <w:tc>
          <w:p>
            <w:r>
              <w:t>Hexokinase IV (Glucokinase)</w:t>
            </w:r>
          </w:p>
        </w:tc>
        <w:tc>
          <w:p>
            <w:r>
              <w:t>10.0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  <Relationship Id="rIdImg" Type="http://schemas.openxmlformats.org/officeDocument/2006/relationships/image" Target="media/image1.png"/>
</Relationships>
</file>