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Ghi chú chỉnh sửa trang web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Trang thanh toán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-11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Gộp thao tác cột Đã thanh toán vào cột Hành động, cạnh nút Sửa và Xóa.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-11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Mã thanh toán cho phép nhập mã hóa đơn/mã thanh toán bên ngoài. Nếu để trống, hệ thống tự sinh mã theo mã dự án.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-11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Trạng thái sửa lại chỉ gồm “Chưa thanh toán” và “Đã thanh toán”; “Quá hạn” hiển thị như tình trạng.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-11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Cho phép đính kèm file cho đợt thanh toán.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Dashboard tổng quan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before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Khi chọn Tất cả dự án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62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Bộ lọc phạm vi dự án, khoảng thời gian, chỉ đổi nút “Áp dụng” thành “Xem thống kê”.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KPI dự án có nguy cơ trễ hạn hiển thị số lượng dự án cụ thể, không hiển thị phần trăm.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Bấm vào các mục KPI mở danh sách nhanh trước; trong đó sẽ có nút Xem chi tiết.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Tổng các nhóm trạng thái phải khớp Tổng số dự án (không hiển thị trạng thái quá hạn).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Lịch sắp tới, Tổng quan nguồn lực và Tổng quan chi phí ở cuối trang.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Xóa: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Bảng Dự án cần chú ý.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before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Khi chọn một dự án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before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105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Bốn KPI Tiến độ thực tế, Hoàn thành, Quá hạn và Nhân sự tham gia.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Thông tin mã, tên, trạng thái, ngày bắt đầu, ngày dự kiến và ngày hoàn thành thực tế.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Thanh thực tế so với kế hoạch phải có nhãn Đúng tiến độ, Vượt tiến độ hoặc Bị trễ thay vì độ lệch +/- phần trăm.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Cảnh báo Quá hạn, Sắp đến hạn, Rủi ro và Vấn đề; bấm vào mở ra danh sách có nút xem chi tiết.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Lịch sắp tới, Thành viên dự án và Chi phí dự án; cho phép mở trang chi tiết tương ứng.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Dashboard tiến độ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6680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346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Bộ lọc dự án, khoảng thời gian, nút Áp dụng và thẻ thời điểm cập nhật.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Chuẩn hóa lại 6 KPI: Tổng tiến độ, Tổng công việc, Hoàn thành, Đang thực hiện, Quá hạn và Cần chú ý.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Giữ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Biểu đồ Thực tế so với kế hoạch.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Biểu đồ Trạng thái công việc.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Cơ cấu công việc theo dự án; hiển thị số công việc của từng dự án.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Sức khỏe tiến độ dự án: đổi tên thành “Tình hình tiến độ dự án”, giữ thời gian, tiến độ thực tế/kế hoạch,công việc, quá hạn và đánh giá; đổi độ lệch +/- phần trăm thành nhãn dễ hiểu.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Công việc cần ưu tiên xử lý: giữ task, dự án, mức ưu tiên, hạn, tiến độ và cảnh báo.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Dashboard chi phí 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9448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4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Bộ lọc phạm vi dự án, kỳ hoàn thành.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KPI Số dự án hoàn thành.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Chuẩn hóa KPI Tổng giá trị hợp đồng, Chi phí thực tế, Lợi nhuận gộp(Lợi nhuận gộp = Tổng giá trị hợp đồng − Chi phí thực tế), Biên lợi nhuận(Biên lợi nhuận = Lợi nhuận gộp / Tổng giá trị hợp đồng × 100%), Đã thu, Còn phải thu và Chi phí chờ duyệt.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Biểu đồ Hợp đồng so với chi phí thực tế, Tình hình thu tiền và Xu hướng chi phí.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Thống nhất nhãn, đơn vị VND, tỷ lệ Đã thu/Còn phải thu và phạm vi dữ liệu.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Bảng Hiệu quả tài chính theo dự án: giữ hợp đồng, chi phí, lợi nhuận, biên lợi nhuận, đã thu/còn phải thu và sắp xếp theo biên lợi nhuận.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Xóa: </w:t>
      </w:r>
      <w:r w:rsidDel="00000000" w:rsidR="00000000" w:rsidRPr="00000000">
        <w:rPr>
          <w:rFonts w:ascii="Times New Roman" w:cs="Times New Roman" w:eastAsia="Times New Roman" w:hAnsi="Times New Roman"/>
          <w:color w:val="020617"/>
          <w:sz w:val="28"/>
          <w:szCs w:val="28"/>
          <w:rtl w:val="0"/>
        </w:rPr>
        <w:t xml:space="preserve">Các khoản chi lớn nhất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Dashboard phân bổ nguồn lực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1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8102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Bộ lọc phạm vi dự án, khoảng thời gian hiển thị và điều hướng tuần trước/hiện tại/sau.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Viết lại ghi chú công thức theo ‘X ngày công / Y ngày làm việc’; không ghi kiểu 400% gây kho hiểu.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Chuẩn hóa 5 KPI: Nhân sự trong phạm vi, Đã phân bổ, Dưới tải, Cân bằng và Quá tải.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Heatmap theo tuần giữ bố cục, khi bấm xem chi tiết nhân sự làm gì trong các ngày trong tuần.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Tóm tắt tải theo tháng và danh sách Nhân sự cần chú ý.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Biểu đồ Xu hướng tải nguồn lực; tuần tương lai dùng nét đứt.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Bảng Phân bổ theo dự án bổ sung tên dự án, công việc và tổng ngày/giờ để giải thích số liệu.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Sửa: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iển thị Nghỉ lễ, 0% và không tính vào mẫu số; không tạo cảnh báo quá tải giả.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-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lineRule="auto"/>
        <w:ind w:left="540" w:hanging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-11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