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358cdf08cbb18ff34605eec6c8cc81fa57c9e02"/>
    <w:p>
      <w:pPr>
        <w:pStyle w:val="Heading1"/>
        <w:keepNext/>
      </w:pPr>
      <w:r>
        <w:t>1. Khảo Sát Các Phương Trình Toán Học Và Vật Lý Lý Thuyết</w:t>
      </w:r>
    </w:p>
    <w:bookmarkStart w:id="9" w:name="phân-số-căn-bậc-hai-và-giới-hạn"/>
    <w:p>
      <w:pPr>
        <w:pStyle w:val="Heading2"/>
        <w:keepNext/>
      </w:pPr>
      <w:r>
        <w:t xml:space="preserve">1. Phân số, căn bậc hai và giới hạn</w:t>
      </w:r>
    </w:p>
    <w:p>
      <w:pPr>
        <w:pStyle w:val="FirstParagraph"/>
      </w:pPr>
      <w:r>
        <w:t xml:space="preserve">Phân phối chuẩn Gauss với kỳ vọng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và phương sai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có hàm mật độ xác suất: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</m:oMath>
      </m:oMathPara>
    </w:p>
    <w:p>
      <w:pPr>
        <w:pStyle w:val="FirstParagraph"/>
      </w:pPr>
      <w:r>
        <w:t xml:space="preserve">Bất đẳng thức Cauchy-Schwarz dạng căn thức: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≥</m:t>
          </m:r>
          <m:rad>
            <m:radPr>
              <m:degHide m:val="on"/>
            </m:radPr>
            <m:deg/>
            <m:e>
              <m:r>
                <m:t>a</m:t>
              </m:r>
              <m:r>
                <m:t>b</m:t>
              </m:r>
            </m:e>
          </m:rad>
        </m:oMath>
      </m:oMathPara>
    </w:p>
    <w:p>
      <w:pPr>
        <w:pStyle w:val="FirstParagraph"/>
      </w:pPr>
      <w:r>
        <w:t xml:space="preserve">Giới hạn lượng giác cơ bản khi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bookmarkEnd w:id="9"/>
    <w:bookmarkStart w:id="10" w:name="tổng-vô-hạn-và-tích-phân-suy-rộng"/>
    <w:p>
      <w:pPr>
        <w:pStyle w:val="Heading2"/>
        <w:keepNext/>
      </w:pPr>
      <w:r>
        <w:t xml:space="preserve">2. Tổng vô hạn và tích phân suy rộng</w:t>
      </w:r>
    </w:p>
    <w:p>
      <w:pPr>
        <w:pStyle w:val="FirstParagraph"/>
      </w:pPr>
      <w:r>
        <w:t xml:space="preserve">Tổng chuỗi Basel nổi tiếng của Euler: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w:r>
        <w:t xml:space="preserve">Tích phân Gauss trên toàn trục số: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p>
      <w:pPr>
        <w:pStyle w:val="FirstParagraph"/>
      </w:pPr>
      <w:r>
        <w:t xml:space="preserve">Tích phân Gamma tổng quát: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t>d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với </m:t>
          </m:r>
          <m:r>
            <m:rPr>
              <m:nor/>
              <m:sty m:val="p"/>
            </m:rPr>
            <m:t>Re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0</m:t>
          </m:r>
        </m:oMath>
      </m:oMathPara>
    </w:p>
    <w:bookmarkEnd w:id="10"/>
    <w:bookmarkStart w:id="11" w:name="ma-trận-và-đại-số-tuyến-tính"/>
    <w:p>
      <w:pPr>
        <w:pStyle w:val="Heading2"/>
        <w:keepNext/>
      </w:pPr>
      <w:r>
        <w:t xml:space="preserve">3. Ma trận và đại số tuyến tính</w:t>
      </w:r>
    </w:p>
    <w:p>
      <w:pPr>
        <w:pStyle w:val="FirstParagraph"/>
      </w:pPr>
      <w:r>
        <w:t xml:space="preserve">Ma trận xoay 3D và vector trạng thái: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R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acc>
            <m:accPr>
              <m:chr m:val="⃗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</m:mr>
                <m:mr>
                  <m:e>
                    <m:r>
                      <m:t>y</m:t>
                    </m:r>
                  </m:e>
                </m:mr>
                <m:mr>
                  <m:e>
                    <m:r>
                      <m:t>z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Định thức của ma trận vuông cấp 2: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</m:oMath>
      </m:oMathPara>
    </w:p>
    <w:bookmarkEnd w:id="11"/>
    <w:bookmarkStart w:id="12" w:name="Xa9996d84e43cc4585feecdc3c36d1df0a87fa5a"/>
    <w:p>
      <w:pPr>
        <w:pStyle w:val="Heading2"/>
        <w:keepNext/>
      </w:pPr>
      <w:r>
        <w:t xml:space="preserve">4. Hệ phương trình Maxwell và hàm phân nhánh</w:t>
      </w:r>
    </w:p>
    <w:p>
      <w:pPr>
        <w:pStyle w:val="FirstParagraph"/>
      </w:pPr>
      <w:r>
        <w:t xml:space="preserve">Bốn phương trình vi phân Maxwell mô tả điện từ trường:</w:t>
      </w:r>
    </w:p>
    <w:p>
      <w:pPr>
        <w:pStyle w:val="BodyText"/>
      </w:pPr>
      <w:r>
        <w:t xml:space="preserve">$$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ρ</m:t>
                  </m:r>
                </m:num>
                <m:den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B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e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J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E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</m:eqArr>
        </m:oMath>
      </m:oMathPara>
    </w:p>
    <w:p>
      <w:pPr>
        <w:pStyle w:val="FirstParagraph"/>
      </w:pPr>
      <w:r>
        <w:t xml:space="preserve">$$</w:t>
      </w:r>
    </w:p>
    <w:p>
      <w:pPr>
        <w:pStyle w:val="BodyText"/>
      </w:pPr>
      <w:r>
        <w:t xml:space="preserve">Hàm kích hoạt ReLu cải biên (Leaky ReLU):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khi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α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khi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với 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0.01</m:t>
                    </m:r>
                  </m:e>
                </m:mr>
              </m:m>
            </m:e>
          </m:d>
        </m:oMath>
      </m:oMathPara>
    </w:p>
    <w:bookmarkEnd w:id="12"/>
    <w:bookmarkEnd w:id="13"/>
    <w:sectPr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0" w:lineRule="auto" w:after="120"/>
    </w:pPr>
    <w:rPr>
      <w:rFonts w:ascii="Times New Roman" w:hAnsi="Times New Roman" w:cs="Times New Roman"/>
      <w:b w:val="0"/>
      <w:i w:val="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/>
      <w:b/>
      <w:i w:val="0"/>
      <w:color w:val="0F172A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outlineLvl w:val="0"/>
    </w:pPr>
    <w:rPr>
      <w:rFonts w:asciiTheme="majorHAnsi" w:cstheme="majorBidi" w:eastAsiaTheme="majorEastAsia" w:hAnsiTheme="majorHAnsi" w:ascii="Times New Roman" w:hAnsi="Times New Roman" w:cs="Times New Roman"/>
      <w:b/>
      <w:i w:val="0"/>
      <w:color w:val="1E293B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 w:ascii="Times New Roman" w:hAnsi="Times New Roman" w:cs="Times New Roman"/>
      <w:b/>
      <w:i w:val="0"/>
      <w:color w:val="334155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60"/>
      <w:outlineLvl w:val="2"/>
    </w:pPr>
    <w:rPr>
      <w:rFonts w:cstheme="majorBidi" w:eastAsiaTheme="majorEastAsia" w:ascii="Times New Roman" w:hAnsi="Times New Roman" w:cs="Times New Roman"/>
      <w:b/>
      <w:i w:val="0"/>
      <w:color w:val="475569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2026-09-28T21:45:32Z</dcterms:created>
  <dcterms:modified xsi:type="dcterms:W3CDTF">2026-09-28T21:45:32Z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