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cơ-học-lượng-tử-cơ-bản"/>
    <w:p>
      <w:pPr>
        <w:pStyle w:val="Heading1"/>
        <w:keepNext/>
      </w:pPr>
      <w:r>
        <w:t>1. Cơ Học Lượng Tử Cơ Bản</w:t>
      </w:r>
    </w:p>
    <w:p>
      <w:pPr>
        <w:pStyle w:val="FirstParagraph"/>
      </w:pPr>
      <w:r>
        <w:t xml:space="preserve">Trong cơ học lượng tử, trạng thái của một hạt vi mô được mô tả bởi hàm sóng</w:t>
      </w:r>
      <w:r>
        <w:t xml:space="preserve"> </w:t>
      </w:r>
      <m:oMath>
        <m:r>
          <m:rPr>
            <m:sty m:val="p"/>
          </m:rPr>
          <m:t>Ψ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.</w:t>
      </w:r>
    </w:p>
    <w:bookmarkStart w:id="9" w:name="X177a1031a443a3cca51551c49af8afc1b7b508f"/>
    <w:p>
      <w:pPr>
        <w:pStyle w:val="Heading2"/>
        <w:keepNext/>
      </w:pPr>
      <w:r>
        <w:t>1.1. Phương Trình Schrödinger Độc Lập Thời Gian</w:t>
      </w:r>
    </w:p>
    <w:p>
      <w:pPr>
        <w:pStyle w:val="FirstParagraph"/>
      </w:pPr>
      <w:r>
        <w:t xml:space="preserve">Phương trình trạng thái dừng trong giếng thế 1 chiều: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rPr>
                      <m:sty m:val="p"/>
                    </m:rPr>
                    <m:t>ℏ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t>m</m:t>
              </m:r>
            </m:den>
          </m:f>
          <m:f>
            <m:fPr>
              <m:type m:val="bar"/>
            </m:fPr>
            <m:num>
              <m:sSup>
                <m:e>
                  <m:r>
                    <m:t>d</m:t>
                  </m:r>
                </m:e>
                <m:sup>
                  <m:r>
                    <m:t>2</m:t>
                  </m:r>
                </m:sup>
              </m:sSup>
              <m:r>
                <m:t>ψ</m:t>
              </m:r>
            </m:num>
            <m:den>
              <m:r>
                <m:t>d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den>
          </m:f>
          <m:r>
            <m:rPr>
              <m:sty m:val="p"/>
            </m:rPr>
            <m:t>+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ψ</m:t>
          </m:r>
          <m:r>
            <m:rPr>
              <m:sty m:val="p"/>
            </m:rPr>
            <m:t>=</m:t>
          </m:r>
          <m:r>
            <m:t>E</m:t>
          </m:r>
          <m:r>
            <m:t>ψ</m:t>
          </m:r>
        </m:oMath>
      </m:oMathPara>
    </w:p>
    <w:p>
      <w:pPr>
        <w:pStyle w:val="FirstParagraph"/>
      </w:pPr>
      <w:r>
        <w:t xml:space="preserve">Các đại lượng liên quan:</w:t>
      </w:r>
    </w:p>
    <w:p>
      <w:pPr>
        <w:pStyle w:val="Compact"/>
        <w:numPr>
          <w:ilvl w:val="0"/>
          <w:numId w:val="1001"/>
        </w:numPr>
      </w:pPr>
      <w:r>
        <w:t xml:space="preserve">Hằng số Planck rút gọn:</w:t>
      </w:r>
      <w:r>
        <w:t xml:space="preserve"> </w:t>
      </w:r>
      <m:oMath>
        <m:r>
          <m:rPr>
            <m:sty m:val="p"/>
          </m:rPr>
          <m:t>ℏ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h</m:t>
            </m:r>
          </m:num>
          <m:den>
            <m:r>
              <m:t>2</m:t>
            </m:r>
            <m:r>
              <m:t>π</m:t>
            </m:r>
          </m:den>
        </m:f>
      </m:oMath>
    </w:p>
    <w:p>
      <w:pPr>
        <w:pStyle w:val="Compact"/>
        <w:numPr>
          <w:ilvl w:val="0"/>
          <w:numId w:val="1001"/>
        </w:numPr>
      </w:pPr>
      <w:r>
        <w:t xml:space="preserve">Khối lượng hạt:</w:t>
      </w:r>
      <w:r>
        <w:t xml:space="preserve"> </w:t>
      </w:r>
      <w:r>
        <w:rPr>
          <w:i/>
          <w:iCs/>
        </w:rPr>
        <w:t xml:space="preserve">m</w:t>
      </w:r>
    </w:p>
    <w:p>
      <w:pPr>
        <w:pStyle w:val="Compact"/>
        <w:numPr>
          <w:ilvl w:val="0"/>
          <w:numId w:val="1001"/>
        </w:numPr>
      </w:pPr>
      <w:r>
        <w:t xml:space="preserve">Thế năng:</w:t>
      </w:r>
      <w:r>
        <w:t xml:space="preserve"> </w:t>
      </w:r>
      <w:r>
        <w:rPr>
          <w:i/>
          <w:iCs/>
        </w:rPr>
        <w:t xml:space="preserve">V(x)</w:t>
      </w:r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CBD5E1"/>
          <w:left w:val="none"/>
          <w:bottom w:val="single" w:sz="6" w:space="0" w:color="94A3B8"/>
          <w:right w:val="none"/>
          <w:insideH w:val="single" w:sz="4" w:space="0" w:color="E2E8F0"/>
          <w:insideV w:val="none"/>
        </w:tblBorders>
        <w:jc w:val="center"/>
      </w:tblPr>
      <w:tblGrid>
        <w:gridCol w:w="2640"/>
        <w:gridCol w:w="2640"/>
        <w:gridCol w:w="2640"/>
      </w:tblGrid>
      <w:tr>
        <w:trPr>
          <w:tblHeader w:val="on"/>
          <w:cantSplit/>
        </w:trPr>
        <w:tc>
          <w:tcPr/>
          <w:p>
            <w:pPr>
              <w:pStyle w:val="Compact"/>
              <w:spacing w:before="60" w:after="6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Mức năng lượng n</w:t>
            </w:r>
          </w:p>
        </w:tc>
        <w:tc>
          <w:tcPr/>
          <w:p>
            <w:pPr>
              <w:pStyle w:val="Compact"/>
              <w:spacing w:before="60" w:after="6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Công thức năng lượng</w:t>
            </w:r>
          </w:p>
        </w:tc>
        <w:tc>
          <w:tcPr>
            <w:shd w:fill="F1F5F9"/>
          </w:tcPr>
          <w:p>
            <w:pPr>
              <w:pStyle w:val="Compact"/>
              <w:spacing w:before="60" w:after="60" w:line="276" w:lineRule="auto"/>
            </w:pPr>
            <w:r>
              <w:rPr>
                <w:rFonts w:ascii="Times New Roman" w:hAnsi="Times New Roman"/>
                <w:b/>
                <w:sz w:val="22"/>
              </w:rPr>
              <w:t xml:space="preserve">Trạng thái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before="60" w:after="60"/>
            </w:pPr>
            <w:r>
              <w:rPr>
                <w:rFonts w:ascii="Times New Roman" w:hAnsi="Times New Roman"/>
                <w:sz w:val="22"/>
              </w:rPr>
              <w:t xml:space="preserve">n = 1</w:t>
            </w:r>
          </w:p>
        </w:tc>
        <w:tc>
          <w:tcPr/>
          <w:p>
            <w:pPr>
              <w:pStyle w:val="Compact"/>
              <w:spacing w:line="276" w:lineRule="auto" w:before="60" w:after="60"/>
            </w:pPr>
            <w:r>
              <w:rPr>
                <w:rFonts w:ascii="Times New Roman" w:hAnsi="Times New Roman"/>
                <w:sz w:val="22"/>
              </w:rPr>
              <w:t xml:space="preserve">E_1 =</w:t>
            </w:r>
            <w:r>
              <w:rPr>
                <w:rFonts w:ascii="Times New Roman" w:hAnsi="Times New Roman"/>
                <w:sz w:val="22"/>
              </w:rPr>
              <w:t xml:space="preserve"> </w:t>
            </w:r>
          </w:p>
        </w:tc>
        <w:tc>
          <w:tcPr/>
          <w:p>
            <w:pPr>
              <w:pStyle w:val="Compact"/>
              <w:spacing w:line="276" w:lineRule="auto" w:before="60" w:after="60"/>
            </w:pPr>
            <w:r>
              <w:rPr>
                <w:rFonts w:ascii="Times New Roman" w:hAnsi="Times New Roman"/>
                <w:sz w:val="22"/>
              </w:rPr>
              <w:t xml:space="preserve">Cơ bản (Ground state)</w:t>
            </w:r>
          </w:p>
        </w:tc>
      </w:tr>
      <w:tr>
        <w:trPr>
          <w:cantSplit/>
        </w:trPr>
        <w:tc>
          <w:tcPr/>
          <w:p>
            <w:pPr>
              <w:pStyle w:val="Compact"/>
              <w:spacing w:line="276" w:lineRule="auto" w:before="60" w:after="60"/>
            </w:pPr>
            <w:r>
              <w:rPr>
                <w:rFonts w:ascii="Times New Roman" w:hAnsi="Times New Roman"/>
                <w:sz w:val="22"/>
              </w:rPr>
              <w:t xml:space="preserve">n = 2</w:t>
            </w:r>
          </w:p>
        </w:tc>
        <w:tc>
          <w:tcPr/>
          <w:p>
            <w:pPr>
              <w:pStyle w:val="Compact"/>
              <w:spacing w:line="276" w:lineRule="auto" w:before="60" w:after="60"/>
            </w:pPr>
            <w:r>
              <w:rPr>
                <w:rFonts w:ascii="Times New Roman" w:hAnsi="Times New Roman"/>
                <w:sz w:val="22"/>
              </w:rPr>
              <w:t xml:space="preserve">E_2 = 4 E_1</w:t>
            </w:r>
          </w:p>
        </w:tc>
        <w:tc>
          <w:tcPr/>
          <w:p>
            <w:pPr>
              <w:pStyle w:val="Compact"/>
              <w:spacing w:line="276" w:lineRule="auto" w:before="60" w:after="60"/>
            </w:pPr>
            <w:r>
              <w:rPr>
                <w:rFonts w:ascii="Times New Roman" w:hAnsi="Times New Roman"/>
                <w:sz w:val="22"/>
              </w:rPr>
              <w:t xml:space="preserve">Kích thích cấp 1</w:t>
            </w:r>
          </w:p>
        </w:tc>
      </w:tr>
    </w:tbl>
    <w:bookmarkEnd w:id="9"/>
    <w:bookmarkEnd w:id="10"/>
    <w:sectPr>
      <w:footnotePr>
        <w:numRestart w:val="eachSect"/>
      </w:footnotePr>
      <w:pgSz w:w="11906" w:h="16838"/>
      <w:pgMar w:top="1440" w:bottom="1440" w:left="1440" w:right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line="300" w:lineRule="auto" w:after="120"/>
    </w:pPr>
    <w:rPr>
      <w:rFonts w:ascii="Times New Roman" w:hAnsi="Times New Roman" w:cs="Times New Roman"/>
      <w:b w:val="0"/>
      <w:i w:val="0"/>
      <w:sz w:val="24"/>
    </w:rPr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keepNext/>
      <w:spacing w:after="240" w:line="240" w:lineRule="auto"/>
      <w:contextualSpacing/>
      <w:jc w:val="center"/>
    </w:pPr>
    <w:rPr>
      <w:rFonts w:asciiTheme="majorHAnsi" w:cstheme="majorBidi" w:eastAsiaTheme="majorEastAsia" w:hAnsiTheme="majorHAnsi" w:ascii="Times New Roman" w:hAnsi="Times New Roman" w:cs="Times New Roman"/>
      <w:b/>
      <w:i w:val="0"/>
      <w:color w:val="0F172A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120" w:before="240"/>
      <w:outlineLvl w:val="0"/>
    </w:pPr>
    <w:rPr>
      <w:rFonts w:asciiTheme="majorHAnsi" w:cstheme="majorBidi" w:eastAsiaTheme="majorEastAsia" w:hAnsiTheme="majorHAnsi" w:ascii="Times New Roman" w:hAnsi="Times New Roman" w:cs="Times New Roman"/>
      <w:b/>
      <w:i w:val="0"/>
      <w:color w:val="1E293B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200"/>
      <w:outlineLvl w:val="1"/>
    </w:pPr>
    <w:rPr>
      <w:rFonts w:asciiTheme="majorHAnsi" w:cstheme="majorBidi" w:eastAsiaTheme="majorEastAsia" w:hAnsiTheme="majorHAnsi" w:ascii="Times New Roman" w:hAnsi="Times New Roman" w:cs="Times New Roman"/>
      <w:b/>
      <w:i w:val="0"/>
      <w:color w:val="334155"/>
      <w:sz w:val="28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60" w:before="160"/>
      <w:outlineLvl w:val="2"/>
    </w:pPr>
    <w:rPr>
      <w:rFonts w:cstheme="majorBidi" w:eastAsiaTheme="majorEastAsia" w:ascii="Times New Roman" w:hAnsi="Times New Roman" w:cs="Times New Roman"/>
      <w:b/>
      <w:i w:val="0"/>
      <w:color w:val="475569"/>
      <w:sz w:val="24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2026-09-28T21:45:32Z</dcterms:created>
  <dcterms:modified xsi:type="dcterms:W3CDTF">2026-09-28T21:45:32Z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