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Diagnostic Analysis and State-of-the-Art Integration Blueprint for Deep Reinforcement Learning Trading Architectures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Synthesis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of Deep Reinforcement Learning to quantitative finance represents a fundamental paradigm shift from traditional heuristic, rule-based trading and predictive econometric modeling toward autonomous, sequential decision-making frameworks. By modeling the financial market as a partially observable Markov Decision Process, these systems attempt to learn optimal portfolio reallocation policies through continuous interaction with historical state representations. The current proprietary trading system under evaluation demonstrates foundational viability in this domain, successfully executing continuous portfolio reallocation across a predefined asset universe comprising Bitcoin, Ethereum, and a cash equivalent.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 rigorous empirical evaluation of the system’s performance metrics, supported by visual analytics of the equity curve and a deep code-level inspection of the environment architecture, reveals critical vulnerabilities. The system is characterized by a fragile policy manifold that, while capable of capturing significant macro-trend upside, suffers from catastrophic tail-risk exposure. This is evidenced by a severe maximum drawdown and a marginal profit factor that borders on statistical insignificance. These metrics indicate a profound lack of epistemic uncertainty quantification and regime-aware adaptability, rendering the agent highly susceptible to non-stationary market dynamics, structural trend reversals, and volatility clustering.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the academic landscape of algorithmic trading has evolved rapidly throughout 2024 and 2025. The bleeding edge of Deep Reinforcement Learning research has decisively moved away from naive on-policy optimization and heuristic reward shaping. Instead, the state-of-the-art literature emphasizes risk-aware ensemble frameworks, logic-guided program sketching, autoencoder-driven anomaly detection, and the synergistic integration of Large Language Models for semantic market analysis. Innovations such as the Efficient and Risk-Aware Ensemble Reinforcement Learning for Futures Trading architecture, the Logic-Q program synthesis framework, and the Generalized Autoregressive Conditional Heteroskedasticity integrated Iterative Model Combining Algorithm offer profound mathematical and structural enhancements to traditional reinforcement learning constraints.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ensuing analysis provides an exhaustive diagnostic deconstruction of the current system's empirical performance and underlying code architecture. It meticulously evaluates the visual evidence provided by the backtest trajectory and identifies severe mathematical flaws relative to contemporary academic standards. Subsequently, the report synthesizes the most prestigious and novel advancements in the field, detailing the exact mechanisms by which these frameworks achieve superior risk-adjusted metrics. Finally, the report outlines a comprehensive, step-by-step integration blueprint designed to elevate the current system from a fragile, heuristic-bound baseline into a highly sophisticated, institutional-grade automated trading architecture capable of persistent alpha generation and robust capital preservation.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Diagnostic Analysis of the Current System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evaluation of the current algorithmic trading framework requires a multi-dimensional approach, synthesizing the visual evidence of the portfolio's net asset value trajectory, the quantitative backtest metrics derived from the execution logs, and a structural analysis of the reinforcement learning environment and ensemble routing logic.</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Analytics of the Equity Curve and Drawdown Topography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component of this diagnostic process is the careful visual analysis of the provided performance chart, which plots the Portfolio Net Asset Value against a standard benchmark over a multi-year horizon. The chart, spanning from January 2024 through April 2026, features two primary subplots: the upper pane displaying the absolute portfolio value and the lower pane mapping the percentage drawdown severity over time.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upper pane illustrates the performance of the Ensemble Agent alongside a baseline Buy and Hold strategy for Bitcoin. The initial phase of the backtest, corresponding to the first half of 2024, demonstrates a high degree of correlation between the Ensemble Agent and the underlying benchmark. Both the portfolio value and the benchmark oscillate within a relatively narrow band near the initial $10,000 capital allocation. However, as the timeline progresses into the latter half of 2024 and throughout 2025, a profound divergence emerges. The Ensemble Agent captures a massive macroeconomic uptrend, compounding capital aggressively to break through successive resistance levels at $20,000, $30,000, and $40,000. By late 2025, the algorithmic portfolio achieves an extraordinary peak, soaring to nearly $58,000. During this identical timeframe, the Buy and Hold benchmark exhibits significantly lower momentum, struggling to break and sustain levels above $25,000. This massive outperformance period indicates that the agent's policy successfully identified and over-allocated into high-momentum assets during a protracted bull regime.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this spectacular capital appreciation, the visual data reveals a catastrophic systemic failure in early 2026. Following the peak near $58,000, the Ensemble Agent's equity curve experiences a precipitous and unmitigated collapse. The portfolio value violently plummets from its highs down to the $35,000 region in a matter of weeks. This vertical plunge indicates that the agent was entirely unequipped to handle a sudden regime shift or structural market crash. The agent maintained aggressive long exposure as the market turned, resulting in severe capital destruction.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catastrophic failure is explicitly quantified in the lower drawdown pane. The red-filled area, which tracks the percentage decline from the highest high, shows continuous, manageable minor drawdowns throughout the 2024-2025 uptrend. These minor retracements rarely exceed the -10% to -20% threshold, suggesting adequate local risk management during bullish phases. However, aligning perfectly with the early 2026 equity curve collapse, the drawdown chart displays a massive downward spike that breaks below the -40% threshold. This visual confirmation of an extreme tail-risk event underscores a fundamental flaw in the system's architecture: the absolute inability to detect out-of-distribution market states and adjust the portfolio beta accordingly.</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Deconstruction of Quantitative Backtest Metrics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observations are corroborated and further detailed by the quantitative metrics extracted from the system's backtest logs. Evaluating these metrics over a substantial sample size of 6,436 trades provides a deep statistical understanding of the policy's efficacy and its inherent vulnerabilities.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performance topography is summarized in the data table below:</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Recorded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and Statistical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Return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270.88%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Demonstrates massive absolute capital growth, corroborating the visual peak observed in late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Annualised Return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83.69%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Indicates aggressive compounding and high-beta exposure, typical of leveraged or concentrated crypto portfolios.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Maximum Drawdown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-43.77%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Confirms the severe capital erosion observed visually; a catastrophic failure of downside risk 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Profit Factor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1.047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Marginal profitability; gross profits barely exceed gross losses, making the system highly fragile to transaction friction.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Win Rate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50.69%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symmetrical outcome distribution; the system relies entirely on magnitude rather than prediction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Avg Win/Loss Ratio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low payoff asymmetry; winning trades are virtually identical in size to losing trades.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Sharpe Ratio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Represents a moderate risk-adjusted return, heavily penalized by the extreme volatility of the 2026 crash.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Sortino Ratio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Indicates a positive skew in the return distribution, though downside volatility remains a critical concern.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Recovery Factor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6.188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Shows adequate historical capability to generate new equity highs post-drawdown, prior to the final terminal crash.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 in Market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50.69%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frequently seeks the safety of the cash allocation, yet still suffered a massive drawdown.</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statistical profile derived from these metrics paints a picture of a highly fragile, over-optimized policy manifold. The most alarming metric pairing is the Profit Factor of 1.047 combined with an Average Win/Loss Ratio of 1.019 and a Win Rate of 50.69%.</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algorithmic trading, a Profit Factor (the ratio of gross profit to gross loss) below 1.50 generally indicates a system that is highly vulnerable to execution slippage, bid-ask spread widening, or minor structural shifts in inter-asset correlation.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data reveals that the agent is essentially flipping a coin (50.69% win rate) and gaining almost no asymmetric advantage when it does win (1.019 win/loss ratio).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massive absolute returns (270.88%) are therefore likely the result of a few massive, anomalous outlier trades captured during the 2025 bull run, rather than a consistent, statistically robust edge.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-43.77% Maximum Drawdown is an institutional anathema.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professional portfolio management, drawdowns exceeding 15% to 20% often trigger mandatory liquidation or system decommissioning. The fact that the agent spent exactly 50.69% of its time in the market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suggests it has the capacity to hold cash, yet it failed to utilize this capacity during the most critical market crash. This implies that the environment's state representation or reward function actively discouraged risk aversion precisely when it was most needed.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and Action Space Parameterization Vulnerabilities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deep code-level inspection of the environment architecture reveals several foundational design choices that contribute directly to the observed statistical fragility. The observation space is constructed as a flattened lookback window of preprocessed technical features for the traded symbols, alongside the current portfolio weights and cash ratio.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Data alignment is strictly enforced via a common datetime index, ensuring synchronous feature extraction across the asset universe.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action space is parameterized as a continuous bounding box mapping from [-1.0, 1.0], which is subsequently transformed via a softmax function to generate target portfolio weights ranging from [0.0, 1.0], adhering to the standard conventions of the FinRL-X framework.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regularize the action space and prevent erratic portfolio turnover, the environment employs temporal action smoothing. A decay parameter blends current logits with previous outputs, and a rebalance threshold deadband restricts minor dust trades, establishing a transaction cost barrier.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action space mapping is mathematically coherent, the pure reliance on continuous neural outputs without deterministic, out-of-distribution guardrails exposes the system to immense risk. Neural networks are notorious for outputting highly confident predictions even when presented with data that falls completely outside their training distribution. Because the action space lacks a secondary semantic or structural validation layer, the agent is permitted to execute maximum leverage or highly concentrated allocations during unprecedented market anomalies, directly paving the way for the -43.77% drawdown.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Topographical Flaws in the Multi-Objective Reward Function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bottleneck in the current architecture, and the primary driver of the system's statistical fragility, lies within the formulation of the reward function. The environment utilizes a linear combination of sub-rewards with hardcoded, static scalar weights: a profit weight of 1.0, a drawdown penalty weight of 2.0, a turnover penalty weight of 0.5, and an opportunity cost weight of 1.5.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static formulation introduces several fundamental mathematical flaws relative to modern continuous-time control theory.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system implements a myopic, asymmetric return shaping mechanism where negative step log-returns are arbitrarily multiplied by a factor of 2.5.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this is clearly intended to emulate prospect theory and penalize downside volatility, applying this penalty on a per-step basis in high-frequency financial data is mathematically destructive. Step-level returns are heavily dominated by microstructure noise. Heavily penalizing step-level noise distorts the advantage estimation in actor-critic algorithms, increasing the variance of the policy gradient and leading to sub-optimal value function convergence. The agent learns to fear normal market fluctuations rather than actual structural risk.</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environment utilizes a heuristic drawdown penalty, squaring the absolute rolling drawdown multiplied by 10.0, to act as a proxy for Expected Shortfall or Conditional Value at Risk.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rolling drawdown is tracked using a static memory deque constrained to only 100 steps.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context of hourly or minute-level trading, a 100-step window is statistically insufficient to capture the memory of long-term structural drawdowns. A slow, grinding bear market that depletes capital over thousands of steps will remain entirely undetected by this constrained window, creating a massive blind spot for macro-level capital decay.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 to prevent the agent from exhibiting "turtling" behavior—holding excessive cash during bullish trends—the environment subtracts a hardcoded opportunity cost.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primary asset is more than 2% above its 200-day Simple Moving Average, and the agent holds more than 50% cash, it receives a severe penalty.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heuristic assumes static cross-asset correlation and relies entirely on a single classical indicator. If the market becomes highly volatile and the 200-day moving average ceases to act as dynamic support, this penalty forces the agent into unwanted risk exposure against its learned policy. This forced exposure is highly likely to be the direct cause of the catastrophic drawdown observed in the visual equity curve.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environment features an arbitrary terminal penalty where a -5.0 reward is triggered if the absolute drawdown breaches 15%, terminating the episode during training.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Arbitrary, non-normalized terminal penalties are well-documented sources of "reward hacking" in reinforcement learning. Instead of exploring the global maximum of the risk-adjusted return manifold, the agent learns a degenerate policy that merely seeks to avoid the arbitrary terminal state boundary, artificially truncating its learning process.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Limitations of the Heuristic Ensemble Routing Mechanism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references the use of an Iterative Model Combining Algorithm to aggregate predictions between an on-policy Proximal Policy Optimization agent and an off-policy Soft Actor-Critic agent.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theory, ensemble methods are robust, but the specific routing logic implemented in this system is severely limited.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implementation allocates influence based entirely on lagging technical indicators: Bollinger Band width as a proxy for volatility, and distance from the 200-day moving average as a proxy for trend.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low-trend environments, influence is shifted to the off-policy algorithm, and during confirmed trends, it shifts to the on-policy algorithm.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heuristic approach lacks econometric rigor. It relies on lagging indicators that only confirm regime shifts after they have already occurred, rather than utilizing predictive models to preemptively adjust ensemble weights before a volatility expansion wreaks havoc on the portfolio.</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State-of-the-Art Deep Reinforcement Learning in Quantitative Finance (2024-2025)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 profound vulnerabilities identified in the current system, it is necessary to examine the bleeding edge of academic research. The literature spanning 2024 to 2025 demonstrates a fundamental evolution in financial reinforcement learning. The focus has decisively shifted away from isolated predictive accuracy and heuristic reward shaping, moving instead toward robust epistemic uncertainty quantification, dynamic ensemble adaptation, and the integration of external semantic intelligence. The following prestigious frameworks represent the vanguard of algorithmic trading optimization.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Logic-Q: Program Synthesis and Sketch-Based Tuning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pivotal limitation of standard deep reinforcement learning is its susceptibility to overfitting spurious noise and its inherent inability to explicitly comprehend abstract, macro-level market trends.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During unprecedented market crashes, unguided neural policies suffer catastrophic drawdowns because they lack structural market awareness.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Logic-Q framework, introduced at the prestigious AAAI 2024 conference, resolves this critical vulnerability by adopting a program synthesis by sketching paradigm.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Logic-Q integrates human expert knowledge into the deep learning pipeline without relying on the inflexible, hardcoded rules that plague the current system's opportunity cost penalty.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framework employs a lightweight, symbolic market trend-aware sketch comprising multiple conditional statements.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sketch continuously evaluates specific mathematical market metrics, primarily volatility, downside risk, and gross return.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Through these conditionals, the sketch dynamically classifies the market into five distinct regimes: steady descend, steady ascend, rapid descend, rapid ascend, and oscillation.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rather than training the neural network end-to-end alongside the sketch—which frequently disrupts the highly sensitive policy gradient—Logic-Q freezes the weights of the trained reinforcement learning agent.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program sketch operates as an independent adjustment layer, modifying the action probability distributions post-hoc based on the identified macroeconomic trend.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the symbolic sketches possess discrete "holes" representing unknown threshold parameters, they are optimized using Bayesian Optimization over a validation set to maximize a target risk-adjusted metric, such as the Sharpe ratio.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evaluations demonstrate that the Logic-Q framework provides profound risk resilience.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During simulated historical market crashes where baseline indices fell precipitously, agents augmented with Logic-Q maintained strict capital preservation, significantly improving the profit advantage and generating annual relative returns that eclipsed baseline on-policy strategies by over 25%.</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implementation of sketch-based tuning directly addresses the severe drawdown vulnerabilities present in heuristic-bound environments.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FineFT: Risk-Aware Ensemble Reinforcement Learning for Leveraged Markets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High-leverage and high-frequency environments, particularly cryptocurrency futures, exponentially amplify reward fluctuations. This causes standard reinforcement learning training to become highly stochastic, prone to divergence, and susceptible to extreme capital decay.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2025 framework, Efficient and Risk-Aware Ensemble Reinforcement Learning for Futures Trading, presents a highly sophisticated three-stage solution explicitly designed to minimize maximum drawdowns by over 40% while preserving upside profitability.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stage of the framework addresses the non-stationarity of financial data, which inherently violates the core Markov Decision Process assumption of a static transition matrix. The framework trains an ensemble of Deep Q-Networks and utilizes a highly novel selective update mechanism.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every observed state transition, an Ensemble Temporal Difference error matrix is computed.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off-diagonal elements of this matrix represent the Huber temporal difference error across the different ensemble learners.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complex mathematical operation effectively segments the chaotic, non-stationary environment into stable, stationary sub-environments. It allows specific agents within the ensemble to specialize in distinct market dynamics, such as high-volatility breakouts or low-volatility mean-reversion, significantly boosting the overall win rate.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stage confronts a critical flaw in standard deep learning: the lack of self-awareness regarding capability boundaries.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presented with an out-of-distribution market state, such as a black swan event, traditional agents execute catastrophic actions with unwarranted mathematical confidence. The framework resolves this by filtering the ensemble based on validation profitability and training Variational Autoencoders on the state representations corresponding to each specialized dynamic.</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stage implements risk-aware heuristic routing. During live execution, the Variational Autoencoders continuously evaluate the incoming state matrix. If the reconstruction loss exceeds a statistically determined threshold, it indicates epistemic uncertainty and an out-of-distribution state.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system then dynamically routes control away from the aggressive predictive ensemble and defaults to a deterministic, conservative policy, such as aggressively deleveraging or shifting entirely to cash equivalents.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mechanism acts as a mathematical circuit breaker against the exact type of catastrophic crash observed in the current system's equity curve.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Iterative Model Combining Algorithm with Econometric Integration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current system architecture attempts to utilize a heuristic Iterative Model Combining Algorithm, recent literature published in MDPI details a highly rigorous, mathematically sound version designed for global cross-market portfolio optimization.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advanced algorithm entirely eliminates the reliance on static technical indicators, integrating sophisticated econometric modeling to dynamically adjust ensemble weights in real-time.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cornerstone of this advancement is the integration of Generalized Autoregressive Conditional Heteroskedasticity models.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incorporating these econometric models, the framework captures time-dependent volatility and shifting cross-asset correlations predictively rather than reactively.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transitions the ensemble router from analyzing static historical windows to acting upon dynamic variance forecasts, a critical capability for managing multi-asset portfolios.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instead of heuristic routing based on simple moving averages, the advanced algorithm quantifies prediction accuracy using an explicit error metric, such as the Root Mean Square Error.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operational weights of the constituent reinforcement learning models are continuously recalibrated using a highly regulated update formula. This mathematical continuous recalibration prevents the system from overreacting to short-term market noise while strictly penalizing underperforming agents.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Empirical cross-market studies demonstrate that this approach achieves cumulative returns of nearly 30% alongside Sharpe ratios exceeding 0.82, substantially outperforming static ensemble methods during highly volatile periods such as the regional banking crisis and severe cryptocurrency drawdowns.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Mixture Distribution Policy for Continuous Action Spaces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further enhance generalization and aggressively combat the overfitting inherent in deep neural networks operating on noisy financial time series, recent research proposes the adoption of a Mixture Distribution Policy.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Instead of relying on a single deterministic or stochastic output vector, this method mathematically combines multiple high-performing models captured along a single training trajectory.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this paradigm, each individual policy within the ensemble models the continuous action space as a tanh-transformed Gaussian distribution, outputting a precise mean and standard deviation for each asset allocation.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identify the most robust models for the final ensemble, a sophisticated selection schema tracks the moving average of validation returns across multiple, randomly selected in-sample periods.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moving average smoothing ensures that models exhibiting spurious, sudden spikes in performance due to curve-fitting are discarded in favor of those demonstrating persistent, statistically valid robustness to weight perturbations.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execution policy is constructed as a weighted sum of the constituent distributions.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optimization algorithms that require exact log-probabilities, such as Proximal Policy Optimization, the log-likelihood is calculated utilizing the log-sum-exp operation, ensuring absolute numerical stability during the complex gradient update process.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Intelligence Augmentation via Multi-Agent Systems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reinforcement learning agents operate exclusively on structured, numerical data such as price, volume, and derived technical indicators. However, modern financial markets are fundamentally driven by unstructured semantic data, including breaking news events, sudden regulatory announcements, and nuanced macroeconomic reports.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groundbreaking 2024 framework introduces a comprehensive three-layer architecture that seamlessly integrates Large Language Models with Multi-Agent Systems and reinforcement learning to bridge this information gap.</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semantic processing foundation of this framework utilizes a multi-provider array of state-of-the-art language models prompted specifically as expert quantitative analysts. These models ingest massive volumes of unstructured text to generate precise numerical factor scores representing industry trends, fundamental strength, and black-swan risk.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specialized Model Context Provider manages contradictory signals from these various specialized agents using entropy-weighted voting mechanisms, ensuring a stable signal.</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synthesized, semantic factor scores are then directly fed into the state space of the reinforcement learning algorithm. Empirical testing of this integrated architecture demonstrated extraordinary results: an average annualized return exceeding 53%, a Sharpe ratio of 1.702, and a drastic reduction in maximum drawdown to a highly manageable 12.54%.</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Most notably, during high-volatility regimes where the VIX exceeded historical norms, the synergistic architecture maintained steady profitability while isolated technical benchmark strategies suffered extreme decay.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Mechanisms of Metric Improvement in State-of-the-Art Literature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impressive performance metrics reported in the 2024-2025 literature are not the result of parameter tweaking, but of fundamental mathematical shifts in how reinforcement learning interacts with financial environments. Understanding exactly how these frameworks improve the Sharpe Ratio, Profit Factor, and Maximum Drawdown is critical for successful implementation.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massive improvements in risk-adjusted returns, specifically the Sharpe and Sortino ratios, stem primarily from the abandonment of step-wise penalty heuristics in favor of rolling, objective-based optimization.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By optimizing for the Sortino ratio—which strictly isolates downside volatility by only penalizing returns that fall below a specified risk-free threshold—the agent learns to shape the entire equity curve rather than obsessing over individual, noisy step returns.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integration of semantic data further boosts the Sharpe ratio by providing orthogonal alpha; the agent can preemptively reduce exposure based on negative news sentiment before the price action actually breaks down, significantly compressing portfolio variance.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enhancement of the Profit Factor, which measures the ratio of gross profits to gross losses, is heavily driven by the selective update mechanisms utilizing Ensemble Temporal Difference errors.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the current system, a single policy attempts to master all market phases, resulting in a coin-flip win rate and a marginal profit factor.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calculating the error matrix across different learners and isolating stationary sub-environments, state-of-the-art ensembles ensure that only the agent mathematically specialized for the current regime dictates the allocation.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specialization drastically reduces false-positive entries and minimizes whipsaw losses during low-momentum phases, pushing the Profit Factor from the danger zone of 1.047 up toward robust institutional levels of 1.500 and beyond.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dramatic reduction in Maximum Drawdown is achieved through the implementation of epistemic guardrails. The Logic-Q program sketches inject rigid human logic that overrides neural hallucinations during structural trend collapses.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Concurrently, the Variational Autoencoders act as mathematical circuit breakers. By measuring the reconstruction loss of incoming state matrices, the autoencoders objectively quantify when the market has entered an out-of-distribution state.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forcing the portfolio into cash equivalents the moment the reconstruction loss spikes, these frameworks effectively decapitate the left tail of the return distribution, preventing the catastrophic -43.77% plunge observed in the current system's historical backtest.</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Blueprint: Applying State-of-the-Art Architecture to the Current System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the current trading system from a fragile, heuristic-bound baseline to a robust, institutional-grade architecture, a comprehensive overhaul of the reward topology, state representation, and ensemble routing mechanisms is required. The following outlines the specific mathematical and programmatic integrations necessary to execute this upgrade.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Re-engineering the Multi-Objective Reward Topology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hardcoded, linear reward function utilizing static scalar weights currently residing in the environment must be entirely replaced with a dynamic, risk-adjusted formulation that aligns with modern continuous-time control objectives.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myopic 2.5x penalty on negative step returns must be eliminated immediately.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mechanism introduces excessive gradient noise. Instead, the reward function must be reprogrammed to optimize for the Differential Sharpe or Sortino Ratio calculated over an exponentially weighted rolling window.</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By integrating an online, exponentially weighted moving average of the downside deviation, the agent will naturally learn to shape its macro equity curve without suffering from arbitrary, step-level mathematical distortions.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all hardcoded heuristics must be excised. The "turtling" penalty, which forces exposure based on a 2% deviation from the 200-day moving average, is mathematically unsound and highly dangerous.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Market regime detection should emerge organically from the data, not from human-imposed classical indicators. Similarly, the static weighting of reward components must be replaced with a dynamic, Pareto-optimization weighting scheme. If the rolling drawdown exceeds a pre-defined strict risk tolerance, the weight coefficient on the drawdown penalty must dynamically scale upward in real-time, mathematically forcing the agent to prioritize capital preservation over return maximization until the equity curve stabilizes.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Implementation of Variational Autoencoder Capability Boundary Detection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the devastating -43.77% maximum drawdown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must gain epistemic self-awareness. The methodology utilized in recent futures trading ensembles offers a direct, programmatic solution.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dedicated Variational Autoencoder module must be constructed and trained concurrently on the exact feature vectors utilized in the observation 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autoencoder's objective is to learn the underlying statistical manifold of the training data distribution. During live execution or out-of-sample evaluation, the current state matrix is passed through the frozen autoencoder before any action is calculated. The system computes the reconstruction error between the input state and the autoencoder's output.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this reconstruction error exceeds a strict statistical threshold—for example, the 99th percentile of reconstruction errors observed during the entire training phase—the state must be immediately flagged as Out-Of-Distribution.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environment must be programmed to intercept the reinforcement learning agent's action generation and override it entirely. The system will substitute a deterministic, hardcoded "flight-to-safety" vector, immediately liquidating risk assets and shifting to a 100% allocation in the cash equivalent. This mechanism effectively neutralizes black-swan exposure before the neural network can execute a catastrophic hallucination.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Upgrading the Ensemble Router to Econometric Integration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simplistic, heuristic routing logic currently implemented must be upgraded to the 2025 econometric standard.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reliance on Bollinger Band width and simple moving averages must be completely stripped from the architecture.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its place, the system must integrate a generalized autoregressive conditional heteroskedasticity model, specifically a GARCH(1,1) implementation, to provide a continuous, real-time mathematical forecast of conditional variance for the traded assets.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transitions the ensemble router from reacting blindly to lagging indicators to acting decisively on predictive econometric volatility models.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gradient-based weight recalibration script must be established to track the historical performance of the constituent on-policy and off-policy agents. Utilizing the regularized update formula found in state-of-the-art literature, the performance score of each agent will be continuously evaluated.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If the econometric forecast predicts an imminent volatility cluster, the performance score of the trend-following agent is mathematically discounted, smoothly and automatically transferring ensemble dominance to the highly adaptable off-policy agent before the volatility fully materializes.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Logic-Q Post-Hoc Program Sketch Application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embed human expert guardrails without corrupting the mathematical stability of the neural policy gradient, a program sketch must be implemented as a distinct adjustment layer bridging the agent's raw output and the environment's softmax function.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symbolic sketch must be explicitly defined to evaluate customized downside risk and gross volatility metrics.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Prior to live deployment, Bayesian Optimization must be utilized on a completely held-out validation set to discover the optimal threshold parameters for these sketch variables.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operation, before the raw neural logits are processed through the softmax mapping to generate portfolio weights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sketch evaluates the macroeconomic state. If the sketch mathematically identifies a "rapid descend" regime, a massive negative scalar bias is injected directly into the logits associated with the risk assets.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mathematical intervention forces the subsequent softmax output to heavily favor the cash asset.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the neural network weights remain entirely frozen during this process, the modification provides absolute downside protection without inducing catastrophic forgetting during periodic retraining cycles.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Integration of Unstructured Semantic State Vectors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current state space relies entirely on numerical technical features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integrating a semantic processing architecture provides massive potential for orthogonal alpha generation.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external, asynchronous data pipeline must be implemented utilizing a commercial Large Language Model API to analyze daily cryptocurrency-specific news, regulatory filings, and macroeconomic data releases.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language model must be rigorously prompted to output a normalized vector of semantic factors, bounding sentiment and regulatory risk between [0.0, 1.0].</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semantic vector will be continuously appended to the flattened feature window in the environment observation 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incorporating these exogenous, unstructured variables, the reinforcement learning agent will gain the capacity to learn correlations between emerging news narratives and subsequent price action. This allows the agent to preemptively adjust portfolio weights based on semantic shifts long before the momentum is fully priced into the traditional numerical data, significantly enhancing both the Win Rate and the overall Profit Factor.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iteration of the proprietary Deep Reinforcement Learning trading system demonstrates competence in continuous control parameterization but suffers from severe heuristic fragility and structural risk blindness. This is unequivocally confirmed by the visual evidence of the equity curve collapse and the catastrophic -43.77% maximum drawdown. The application of contemporary 2024-2025 methodologies provides a highly rigorous, mathematically sound pathway to completely rectify these systemic deficiencies.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replacing the static, myopic reward function with dynamic, rolling risk optimization, the policy gradient is freed from mathematical distortion. Integrating autoencoder-based capability boundaries ensures that the system fails gracefully into safety rather than extrapolating blindly into unseen market crashes. Furthermore, substituting rudimentary technical indicators with econometric ensemble routing and program sketching bridges the critical gap between neural plasticity and institutional stability. Executing this comprehensive architectural blueprint will transform the baseline agent into a highly sophisticated, robust automated trading framework capable of persistent alpha generation and strict capital preservation across all non-stationary market regimes.</w:t>
      </w:r>
    </w:p>
    <w:p w:rsidR="00000000" w:rsidDel="00000000" w:rsidP="00000000" w:rsidRDefault="00000000" w:rsidRPr="00000000" w14:paraId="0000007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 I have everything I need. Let me now put together a comprehensive analysis.Now let me build a comprehensive analysis dashboard.Here's the full breakdown. Let me walk through what the numbers are actually telling you and where the research points.</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backtest_metrics.csv</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Trading Strategy Framework Based on Reinforcement Deep Learning for Financial Market Predictions - MDPI, accessed on March 31, 2026, </w:t>
      </w:r>
      <w:hyperlink r:id="rId6">
        <w:r w:rsidDel="00000000" w:rsidR="00000000" w:rsidRPr="00000000">
          <w:rPr>
            <w:rFonts w:ascii="Google Sans" w:cs="Google Sans" w:eastAsia="Google Sans" w:hAnsi="Google Sans"/>
            <w:color w:val="0000ee"/>
            <w:sz w:val="24"/>
            <w:szCs w:val="24"/>
            <w:u w:val="single"/>
            <w:rtl w:val="0"/>
          </w:rPr>
          <w:t xml:space="preserve">https://www.mdpi.com/2227-7390/9/23/3094</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ProfitPulse: Reinforcement Learning-Driven Trading Strategy - Cureus Journals, accessed on March 31, 2026, </w:t>
      </w:r>
      <w:hyperlink r:id="rId7">
        <w:r w:rsidDel="00000000" w:rsidR="00000000" w:rsidRPr="00000000">
          <w:rPr>
            <w:rFonts w:ascii="Google Sans" w:cs="Google Sans" w:eastAsia="Google Sans" w:hAnsi="Google Sans"/>
            <w:color w:val="0000ee"/>
            <w:sz w:val="24"/>
            <w:szCs w:val="24"/>
            <w:u w:val="single"/>
            <w:rtl w:val="0"/>
          </w:rPr>
          <w:t xml:space="preserve">https://www.cureusjournals.com/articles/994-profitpulse-reinforcement-learning-driven-trading-strategy.pdf</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Logic-Q: Improving Deep Reinforcement Learning-based Quantitative Trading via Program Sketch-based Tuning - AAAI Publications, accessed on March 31, 2026, </w:t>
      </w:r>
      <w:hyperlink r:id="rId8">
        <w:r w:rsidDel="00000000" w:rsidR="00000000" w:rsidRPr="00000000">
          <w:rPr>
            <w:rFonts w:ascii="Google Sans" w:cs="Google Sans" w:eastAsia="Google Sans" w:hAnsi="Google Sans"/>
            <w:color w:val="0000ee"/>
            <w:sz w:val="24"/>
            <w:szCs w:val="24"/>
            <w:u w:val="single"/>
            <w:rtl w:val="0"/>
          </w:rPr>
          <w:t xml:space="preserve">https://ojs.aaai.org/index.php/AAAI/article/view/34045/36200</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arxiv.org, accessed on March 31, 2026, </w:t>
      </w:r>
      <w:hyperlink r:id="rId9">
        <w:r w:rsidDel="00000000" w:rsidR="00000000" w:rsidRPr="00000000">
          <w:rPr>
            <w:rFonts w:ascii="Google Sans" w:cs="Google Sans" w:eastAsia="Google Sans" w:hAnsi="Google Sans"/>
            <w:color w:val="0000ee"/>
            <w:sz w:val="24"/>
            <w:szCs w:val="24"/>
            <w:u w:val="single"/>
            <w:rtl w:val="0"/>
          </w:rPr>
          <w:t xml:space="preserve">https://arxiv.org/abs/2310.05551</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Logic-Q: Improving Deep Reinforcement Learning-based Quantitative Trading via Program Sketch-based Tuning - arXiv, accessed on March 31, 2026, </w:t>
      </w:r>
      <w:hyperlink r:id="rId10">
        <w:r w:rsidDel="00000000" w:rsidR="00000000" w:rsidRPr="00000000">
          <w:rPr>
            <w:rFonts w:ascii="Google Sans" w:cs="Google Sans" w:eastAsia="Google Sans" w:hAnsi="Google Sans"/>
            <w:color w:val="0000ee"/>
            <w:sz w:val="24"/>
            <w:szCs w:val="24"/>
            <w:u w:val="single"/>
            <w:rtl w:val="0"/>
          </w:rPr>
          <w:t xml:space="preserve">https://arxiv.org/html/2310.05551v3</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Xinyu Cai - CatalyzeX, accessed on March 31, 2026, </w:t>
      </w:r>
      <w:hyperlink r:id="rId11">
        <w:r w:rsidDel="00000000" w:rsidR="00000000" w:rsidRPr="00000000">
          <w:rPr>
            <w:rFonts w:ascii="Google Sans" w:cs="Google Sans" w:eastAsia="Google Sans" w:hAnsi="Google Sans"/>
            <w:color w:val="0000ee"/>
            <w:sz w:val="24"/>
            <w:szCs w:val="24"/>
            <w:u w:val="single"/>
            <w:rtl w:val="0"/>
          </w:rPr>
          <w:t xml:space="preserve">https://www.catalyzex.com/author/Xinyu%20Cai</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FineFT: Efficient and Risk-Aware Ensemble Reinforcement Learning for Futures Trading, accessed on March 31, 2026, </w:t>
      </w:r>
      <w:hyperlink r:id="rId12">
        <w:r w:rsidDel="00000000" w:rsidR="00000000" w:rsidRPr="00000000">
          <w:rPr>
            <w:rFonts w:ascii="Google Sans" w:cs="Google Sans" w:eastAsia="Google Sans" w:hAnsi="Google Sans"/>
            <w:color w:val="0000ee"/>
            <w:sz w:val="24"/>
            <w:szCs w:val="24"/>
            <w:u w:val="single"/>
            <w:rtl w:val="0"/>
          </w:rPr>
          <w:t xml:space="preserve">https://arxiv.org/html/2512.23773v1</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Fineft: Efficient and Risk-aware Ensemble Reinforcement Learning for Futures Trading, accessed on March 31, 2026, </w:t>
      </w:r>
      <w:hyperlink r:id="rId13">
        <w:r w:rsidDel="00000000" w:rsidR="00000000" w:rsidRPr="00000000">
          <w:rPr>
            <w:rFonts w:ascii="Google Sans" w:cs="Google Sans" w:eastAsia="Google Sans" w:hAnsi="Google Sans"/>
            <w:color w:val="0000ee"/>
            <w:sz w:val="24"/>
            <w:szCs w:val="24"/>
            <w:u w:val="single"/>
            <w:rtl w:val="0"/>
          </w:rPr>
          <w:t xml:space="preserve">https://simicx.com/alphastream/fineft_efficient_and_riskaware_ensemble_reinforcem_ab0c5d66</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Cross-Market Trading Optimization Using Iterative Combined Algorithm: A Multi-Asset Approach with Stocks and Cryptocurrencies - IDEAS/RePEc, accessed on March 31, 2026, </w:t>
      </w:r>
      <w:hyperlink r:id="rId14">
        <w:r w:rsidDel="00000000" w:rsidR="00000000" w:rsidRPr="00000000">
          <w:rPr>
            <w:rFonts w:ascii="Google Sans" w:cs="Google Sans" w:eastAsia="Google Sans" w:hAnsi="Google Sans"/>
            <w:color w:val="0000ee"/>
            <w:sz w:val="24"/>
            <w:szCs w:val="24"/>
            <w:u w:val="single"/>
            <w:rtl w:val="0"/>
          </w:rPr>
          <w:t xml:space="preserve">https://ideas.repec.org/a/gam/jmathe/v13y2025i8p1317-d1636803.html</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Global Cross-Market Trading Optimization Using Iterative Combined Algorithm: A Multi-Asset Approach with Stocks and Cryptocurrencies - ResearchGate, accessed on March 31, 2026,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https://www.researchgate.net/publication/390896768_Global_Cross-Market_Trading_Optimization_Using_Iterative_Combined_Algorithm_A_Multi-Asset_Approach_with_Stocks_and_Cryptocurrencies</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Cross-Market Trading Optimization Using Iterative Combined ..., accessed on March 31, 2026, </w:t>
      </w:r>
      <w:hyperlink r:id="rId16">
        <w:r w:rsidDel="00000000" w:rsidR="00000000" w:rsidRPr="00000000">
          <w:rPr>
            <w:rFonts w:ascii="Google Sans" w:cs="Google Sans" w:eastAsia="Google Sans" w:hAnsi="Google Sans"/>
            <w:color w:val="0000ee"/>
            <w:sz w:val="24"/>
            <w:szCs w:val="24"/>
            <w:u w:val="single"/>
            <w:rtl w:val="0"/>
          </w:rPr>
          <w:t xml:space="preserve">https://www.mdpi.com/2227-7390/13/8/1317</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Combined Algorithm Approach for Optimizing Portfolio Performance in Automated Trading: A Study of SET50 Stocks - MDPI, accessed on March 31, 2026, </w:t>
      </w:r>
      <w:hyperlink r:id="rId17">
        <w:r w:rsidDel="00000000" w:rsidR="00000000" w:rsidRPr="00000000">
          <w:rPr>
            <w:rFonts w:ascii="Google Sans" w:cs="Google Sans" w:eastAsia="Google Sans" w:hAnsi="Google Sans"/>
            <w:color w:val="0000ee"/>
            <w:sz w:val="24"/>
            <w:szCs w:val="24"/>
            <w:u w:val="single"/>
            <w:rtl w:val="0"/>
          </w:rPr>
          <w:t xml:space="preserve">https://www.mdpi.com/2227-7390/13/3/461</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Ensemble Method of Deep Reinforcement Learning for ... - arXiv, accessed on March 31, 2026, </w:t>
      </w:r>
      <w:hyperlink r:id="rId18">
        <w:r w:rsidDel="00000000" w:rsidR="00000000" w:rsidRPr="00000000">
          <w:rPr>
            <w:rFonts w:ascii="Google Sans" w:cs="Google Sans" w:eastAsia="Google Sans" w:hAnsi="Google Sans"/>
            <w:color w:val="0000ee"/>
            <w:sz w:val="24"/>
            <w:szCs w:val="24"/>
            <w:u w:val="single"/>
            <w:rtl w:val="0"/>
          </w:rPr>
          <w:t xml:space="preserve">https://arxiv.org/abs/2309.00626</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Ensemble Reinforcement Learning Based Approach For Stock Trading, accessed on March 31,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https://www.researchgate.net/publication/387921640_A_Deep_Ensemble_Reinforcement_Learning_Based_Approach_For_Stock_Trading</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Deep Reinforcement Learning approach with Explainability for cryptocurrency trading - ResearchGate, accessed on March 31,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https://www.researchgate.net/publication/386073770_A_Deep_Reinforcement_Learning_approach_with_Explainability_for_cryptocurrency_trading</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News-Aware Direct Reinforcement Trading for Financial Markets - arXiv, accessed on March 31, 2026, </w:t>
      </w:r>
      <w:hyperlink r:id="rId21">
        <w:r w:rsidDel="00000000" w:rsidR="00000000" w:rsidRPr="00000000">
          <w:rPr>
            <w:rFonts w:ascii="Google Sans" w:cs="Google Sans" w:eastAsia="Google Sans" w:hAnsi="Google Sans"/>
            <w:color w:val="0000ee"/>
            <w:sz w:val="24"/>
            <w:szCs w:val="24"/>
            <w:u w:val="single"/>
            <w:rtl w:val="0"/>
          </w:rPr>
          <w:t xml:space="preserve">https://arxiv.org/html/2510.19173v1</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LLM-based multi-agent systems to enhance ... - PeerJ, accessed on March 31, 2026, </w:t>
      </w:r>
      <w:hyperlink r:id="rId22">
        <w:r w:rsidDel="00000000" w:rsidR="00000000" w:rsidRPr="00000000">
          <w:rPr>
            <w:rFonts w:ascii="Google Sans" w:cs="Google Sans" w:eastAsia="Google Sans" w:hAnsi="Google Sans"/>
            <w:color w:val="0000ee"/>
            <w:sz w:val="24"/>
            <w:szCs w:val="24"/>
            <w:u w:val="single"/>
            <w:rtl w:val="0"/>
          </w:rPr>
          <w:t xml:space="preserve">https://peerj.com/articles/cs-3630.pdf</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Factor-based deep reinforcement learning for asset allocation: Comparative analysis of static and dynamic beta reward designs | PLOS One - Research journals, accessed on March 31, 2026, </w:t>
      </w:r>
      <w:hyperlink r:id="rId23">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https://journals.plos.org/plosone/article?id=10.1371/journal.pone.0332779</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Risk-Aware Reinforcement Learning Reward for Financial Trading - arXiv, accessed on March 31, 2026, </w:t>
      </w:r>
      <w:hyperlink r:id="rId24">
        <w:r w:rsidDel="00000000" w:rsidR="00000000" w:rsidRPr="00000000">
          <w:rPr>
            <w:rFonts w:ascii="Google Sans" w:cs="Google Sans" w:eastAsia="Google Sans" w:hAnsi="Google Sans"/>
            <w:color w:val="0000ee"/>
            <w:sz w:val="24"/>
            <w:szCs w:val="24"/>
            <w:u w:val="single"/>
            <w:rtl w:val="0"/>
          </w:rPr>
          <w:t xml:space="preserve">https://arxiv.org/html/2506.04358v1</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Action-specialized expert ensemble trading system with extended ..., accessed on March 31, 2026,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https://pmc.ncbi.nlm.nih.gov/articles/PMC7384672/</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Poster Continuous Q-Score Matching: Diffusion Guided Reinforcement Learning for Continuous-Time Control, accessed on March 31, 2026, </w:t>
      </w:r>
      <w:hyperlink r:id="rId26">
        <w:r w:rsidDel="00000000" w:rsidR="00000000" w:rsidRPr="00000000">
          <w:rPr>
            <w:rFonts w:ascii="Google Sans" w:cs="Google Sans" w:eastAsia="Google Sans" w:hAnsi="Google Sans"/>
            <w:color w:val="0000ee"/>
            <w:sz w:val="24"/>
            <w:szCs w:val="24"/>
            <w:u w:val="single"/>
            <w:rtl w:val="0"/>
          </w:rPr>
          <w:t xml:space="preserve">https://neurips.cc/virtual/2025/poster/116077</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27">
        <w:r w:rsidDel="00000000" w:rsidR="00000000" w:rsidRPr="00000000">
          <w:rPr>
            <w:rFonts w:ascii="Google Sans" w:cs="Google Sans" w:eastAsia="Google Sans" w:hAnsi="Google Sans"/>
            <w:color w:val="0000ee"/>
            <w:sz w:val="24"/>
            <w:szCs w:val="24"/>
            <w:u w:val="single"/>
            <w:rtl w:val="0"/>
          </w:rPr>
          <w:t xml:space="preserve">https://arxiv.org/abs/2512.23773v1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86073770_A_Deep_Reinforcement_Learning_approach_with_Explainability_for_cryptocurrency_trading" TargetMode="External"/><Relationship Id="rId22" Type="http://schemas.openxmlformats.org/officeDocument/2006/relationships/hyperlink" Target="https://peerj.com/articles/cs-3630.pdf" TargetMode="External"/><Relationship Id="rId21" Type="http://schemas.openxmlformats.org/officeDocument/2006/relationships/hyperlink" Target="https://arxiv.org/html/2510.19173v1" TargetMode="External"/><Relationship Id="rId24" Type="http://schemas.openxmlformats.org/officeDocument/2006/relationships/hyperlink" Target="https://arxiv.org/html/2506.04358v1" TargetMode="External"/><Relationship Id="rId23" Type="http://schemas.openxmlformats.org/officeDocument/2006/relationships/hyperlink" Target="https://journals.plos.org/plosone/article?id=10.1371/journal.pone.03327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310.05551" TargetMode="External"/><Relationship Id="rId26" Type="http://schemas.openxmlformats.org/officeDocument/2006/relationships/hyperlink" Target="https://neurips.cc/virtual/2025/poster/116077" TargetMode="External"/><Relationship Id="rId25" Type="http://schemas.openxmlformats.org/officeDocument/2006/relationships/hyperlink" Target="https://pmc.ncbi.nlm.nih.gov/articles/PMC7384672/" TargetMode="External"/><Relationship Id="rId27" Type="http://schemas.openxmlformats.org/officeDocument/2006/relationships/hyperlink" Target="https://arxiv.org/abs/2512.23773v1" TargetMode="External"/><Relationship Id="rId5" Type="http://schemas.openxmlformats.org/officeDocument/2006/relationships/styles" Target="styles.xml"/><Relationship Id="rId6" Type="http://schemas.openxmlformats.org/officeDocument/2006/relationships/hyperlink" Target="https://www.mdpi.com/2227-7390/9/23/3094" TargetMode="External"/><Relationship Id="rId7" Type="http://schemas.openxmlformats.org/officeDocument/2006/relationships/hyperlink" Target="https://www.cureusjournals.com/articles/994-profitpulse-reinforcement-learning-driven-trading-strategy.pdf" TargetMode="External"/><Relationship Id="rId8" Type="http://schemas.openxmlformats.org/officeDocument/2006/relationships/hyperlink" Target="https://ojs.aaai.org/index.php/AAAI/article/view/34045/36200" TargetMode="External"/><Relationship Id="rId11" Type="http://schemas.openxmlformats.org/officeDocument/2006/relationships/hyperlink" Target="https://www.catalyzex.com/author/Xinyu%20Cai" TargetMode="External"/><Relationship Id="rId10" Type="http://schemas.openxmlformats.org/officeDocument/2006/relationships/hyperlink" Target="https://arxiv.org/html/2310.05551v3" TargetMode="External"/><Relationship Id="rId13" Type="http://schemas.openxmlformats.org/officeDocument/2006/relationships/hyperlink" Target="https://simicx.com/alphastream/fineft_efficient_and_riskaware_ensemble_reinforcem_ab0c5d66" TargetMode="External"/><Relationship Id="rId12" Type="http://schemas.openxmlformats.org/officeDocument/2006/relationships/hyperlink" Target="https://arxiv.org/html/2512.23773v1" TargetMode="External"/><Relationship Id="rId15" Type="http://schemas.openxmlformats.org/officeDocument/2006/relationships/hyperlink" Target="https://www.researchgate.net/publication/390896768_Global_Cross-Market_Trading_Optimization_Using_Iterative_Combined_Algorithm_A_Multi-Asset_Approach_with_Stocks_and_Cryptocurrencies" TargetMode="External"/><Relationship Id="rId14" Type="http://schemas.openxmlformats.org/officeDocument/2006/relationships/hyperlink" Target="https://ideas.repec.org/a/gam/jmathe/v13y2025i8p1317-d1636803.html" TargetMode="External"/><Relationship Id="rId17" Type="http://schemas.openxmlformats.org/officeDocument/2006/relationships/hyperlink" Target="https://www.mdpi.com/2227-7390/13/3/461" TargetMode="External"/><Relationship Id="rId16" Type="http://schemas.openxmlformats.org/officeDocument/2006/relationships/hyperlink" Target="https://www.mdpi.com/2227-7390/13/8/1317" TargetMode="External"/><Relationship Id="rId19" Type="http://schemas.openxmlformats.org/officeDocument/2006/relationships/hyperlink" Target="https://www.researchgate.net/publication/387921640_A_Deep_Ensemble_Reinforcement_Learning_Based_Approach_For_Stock_Trading" TargetMode="External"/><Relationship Id="rId18" Type="http://schemas.openxmlformats.org/officeDocument/2006/relationships/hyperlink" Target="https://arxiv.org/abs/2309.006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