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80" w:line="240" w:lineRule="auto"/>
        <w:jc w:val="center"/>
      </w:pPr>
      <w:r>
        <w:rPr>
          <w:rFonts w:ascii="Times New Roman" w:hAnsi="Times New Roman" w:eastAsia="Times New Roman"/>
          <w:b/>
          <w:color w:val="2F75B5"/>
          <w:sz w:val="22"/>
        </w:rPr>
        <w:t>IE203 · HỆ THỐNG QUẢN TRỊ QUY TRÌNH NGHIỆP VỤ</w:t>
      </w:r>
    </w:p>
    <w:p>
      <w:pPr>
        <w:spacing w:before="1000" w:after="160" w:line="240" w:lineRule="auto"/>
        <w:jc w:val="center"/>
      </w:pPr>
      <w:r>
        <w:rPr>
          <w:rFonts w:ascii="Times New Roman" w:hAnsi="Times New Roman" w:eastAsia="Times New Roman"/>
          <w:b/>
          <w:color w:val="17365D"/>
          <w:sz w:val="50"/>
        </w:rPr>
        <w:t>PHÂN TÍCH QUY TRÌNH 6</w:t>
      </w:r>
    </w:p>
    <w:p>
      <w:pPr>
        <w:spacing w:before="0" w:after="320" w:line="240" w:lineRule="auto"/>
        <w:jc w:val="center"/>
      </w:pPr>
      <w:r>
        <w:rPr>
          <w:rFonts w:ascii="Times New Roman" w:hAnsi="Times New Roman" w:eastAsia="Times New Roman"/>
          <w:b/>
          <w:color w:val="2F75B5"/>
          <w:sz w:val="40"/>
        </w:rPr>
        <w:t>GIAO HÀNG TẬN NƠI &amp; XÁC NHẬN</w:t>
      </w:r>
    </w:p>
    <w:p>
      <w:pPr>
        <w:spacing w:before="0" w:after="840" w:line="240" w:lineRule="auto"/>
        <w:jc w:val="center"/>
      </w:pPr>
      <w:r>
        <w:rPr>
          <w:rFonts w:ascii="Times New Roman" w:hAnsi="Times New Roman" w:eastAsia="Times New Roman"/>
          <w:i/>
          <w:color w:val="666666"/>
          <w:sz w:val="24"/>
        </w:rPr>
        <w:t>Mô hình AS-IS · BPMN 2.0 · Bản chuẩn bị tích hợp đồ án</w:t>
      </w:r>
    </w:p>
    <w:tbl>
      <w:tblPr>
        <w:tblW w:type="dxa" w:w="9060"/>
        <w:jc w:val="center"/>
        <w:tblLayout w:type="fixed"/>
        <w:tblLook w:firstColumn="1" w:firstRow="1" w:lastColumn="0" w:lastRow="0" w:noHBand="0" w:noVBand="1" w:val="04A0"/>
        <w:tblInd w:w="0" w:type="dxa"/>
        <w:tblBorders>
          <w:top w:val="single" w:sz="7" w:color="9FBAD0"/>
          <w:left w:val="single" w:sz="7" w:color="9FBAD0"/>
          <w:bottom w:val="single" w:sz="7" w:color="9FBAD0"/>
          <w:right w:val="single" w:sz="7" w:color="9FBAD0"/>
          <w:insideH w:val="single" w:sz="7" w:color="9FBAD0"/>
          <w:insideV w:val="single" w:sz="7" w:color="9FBAD0"/>
        </w:tblBorders>
      </w:tblPr>
      <w:tblGrid>
        <w:gridCol w:w="9060"/>
      </w:tblGrid>
      <w:tr>
        <w:tc>
          <w:tcPr>
            <w:tcW w:type="dxa" w:w="9060"/>
            <w:shd w:fill="F3F7FB"/>
            <w:tcMar>
              <w:top w:w="140" w:type="dxa"/>
              <w:start w:w="160" w:type="dxa"/>
              <w:bottom w:w="140" w:type="dxa"/>
              <w:end w:w="160" w:type="dxa"/>
            </w:tcMar>
          </w:tcPr>
          <w:p>
            <w:pPr>
              <w:spacing w:before="0" w:after="0" w:line="283" w:lineRule="auto"/>
            </w:pPr>
            <w:r>
              <w:rPr>
                <w:rFonts w:ascii="Times New Roman" w:hAnsi="Times New Roman" w:eastAsia="Times New Roman"/>
                <w:b/>
                <w:color w:val="17365D"/>
                <w:sz w:val="21"/>
              </w:rPr>
              <w:t xml:space="preserve">Phạm vi: </w:t>
            </w:r>
            <w:r>
              <w:rPr>
                <w:rFonts w:ascii="Times New Roman" w:hAnsi="Times New Roman" w:eastAsia="Times New Roman"/>
                <w:sz w:val="21"/>
              </w:rPr>
              <w:t>Bắt đầu khi đơn hàng đã sẵn sàng giao và kết thúc khi hệ thống ghi nhận giao thành công kèm bằng chứng POD, hoặc ghi nhận giao thất bại và hoàn hàng.</w:t>
            </w:r>
          </w:p>
        </w:tc>
      </w:tr>
    </w:tbl>
    <w:p>
      <w:pPr>
        <w:spacing w:after="20"/>
      </w:pPr>
    </w:p>
    <w:tbl>
      <w:tblPr>
        <w:tblW w:type="dxa" w:w="9060"/>
        <w:jc w:val="center"/>
        <w:tblLayout w:type="fixed"/>
        <w:tblLook w:firstColumn="1" w:firstRow="1" w:lastColumn="0" w:lastRow="0" w:noHBand="0" w:noVBand="1" w:val="04A0"/>
        <w:tblInd w:w="0" w:type="dxa"/>
        <w:tblBorders>
          <w:top w:val="single" w:sz="7" w:color="9FBAD0"/>
          <w:left w:val="single" w:sz="7" w:color="9FBAD0"/>
          <w:bottom w:val="single" w:sz="7" w:color="9FBAD0"/>
          <w:right w:val="single" w:sz="7" w:color="9FBAD0"/>
          <w:insideH w:val="single" w:sz="7" w:color="9FBAD0"/>
          <w:insideV w:val="single" w:sz="7" w:color="9FBAD0"/>
        </w:tblBorders>
      </w:tblPr>
      <w:tblGrid>
        <w:gridCol w:w="9060"/>
      </w:tblGrid>
      <w:tr>
        <w:tc>
          <w:tcPr>
            <w:tcW w:type="dxa" w:w="9060"/>
            <w:shd w:fill="FFF2CC"/>
            <w:tcMar>
              <w:top w:w="140" w:type="dxa"/>
              <w:start w:w="160" w:type="dxa"/>
              <w:bottom w:w="140" w:type="dxa"/>
              <w:end w:w="160" w:type="dxa"/>
            </w:tcMar>
          </w:tcPr>
          <w:p>
            <w:pPr>
              <w:spacing w:before="0" w:after="0" w:line="283" w:lineRule="auto"/>
            </w:pPr>
            <w:r>
              <w:rPr>
                <w:rFonts w:ascii="Times New Roman" w:hAnsi="Times New Roman" w:eastAsia="Times New Roman"/>
                <w:b/>
                <w:color w:val="806000"/>
                <w:sz w:val="21"/>
              </w:rPr>
              <w:t xml:space="preserve">Lưu ý dữ liệu: </w:t>
            </w:r>
            <w:r>
              <w:rPr>
                <w:rFonts w:ascii="Times New Roman" w:hAnsi="Times New Roman" w:eastAsia="Times New Roman"/>
                <w:sz w:val="21"/>
              </w:rPr>
              <w:t>Các tỷ lệ, thời gian và đơn giá trong phần định lượng là giả định học thuật phục vụ minh họa phương pháp. Nhóm cần thay bằng dữ liệu phỏng vấn, nhật ký OMS/TMS hoặc số liệu vận hành thực tế trước khi nộp bản chính thức.</w:t>
            </w:r>
          </w:p>
        </w:tc>
      </w:tr>
    </w:tbl>
    <w:p>
      <w:pPr>
        <w:spacing w:after="20"/>
      </w:pPr>
    </w:p>
    <w:p>
      <w:pPr>
        <w:spacing w:before="1100" w:after="0" w:line="240" w:lineRule="auto"/>
        <w:jc w:val="center"/>
      </w:pPr>
      <w:r>
        <w:rPr>
          <w:rFonts w:ascii="Times New Roman" w:hAnsi="Times New Roman" w:eastAsia="Times New Roman"/>
          <w:color w:val="666666"/>
          <w:sz w:val="22"/>
        </w:rPr>
        <w:t>Tháng 7 năm 2026</w:t>
      </w:r>
    </w:p>
    <w:p>
      <w:r>
        <w:br w:type="page"/>
      </w:r>
    </w:p>
    <w:p>
      <w:pPr>
        <w:pStyle w:val="Heading1"/>
      </w:pPr>
      <w:r>
        <w:t>3.6. Quy trình giao hàng tận nơi &amp; xác nhận</w:t>
      </w:r>
    </w:p>
    <w:p>
      <w:pPr>
        <w:spacing w:before="0" w:after="120" w:line="307" w:lineRule="auto"/>
        <w:jc w:val="both"/>
      </w:pPr>
      <w:r>
        <w:rPr>
          <w:rFonts w:ascii="Times New Roman" w:hAnsi="Times New Roman" w:eastAsia="Times New Roman"/>
          <w:i w:val="0"/>
        </w:rPr>
        <w:t>Quy trình giao hàng tận nơi và xác nhận là giai đoạn chặng cuối của chuỗi xử lý đơn hàng. Mục tiêu của quy trình là giao đúng sản phẩm, đúng khách hàng, đúng địa điểm và trong khung thời gian đã cam kết; đồng thời tạo bằng chứng giao hàng đủ tin cậy để đóng đơn, đối soát COD và xử lý khiếu nại.</w:t>
      </w:r>
    </w:p>
    <w:p>
      <w:pPr>
        <w:pStyle w:val="Heading2"/>
      </w:pPr>
      <w:r>
        <w:t>3.6.1. Mô tả quy trình</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2050"/>
        <w:gridCol w:w="7010"/>
      </w:tblGrid>
      <w:tr>
        <w:trPr>
          <w:tblHeader w:val="true"/>
        </w:trPr>
        <w:tc>
          <w:tcPr>
            <w:tcW w:type="dxa" w:w="20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Thuộc tính</w:t>
            </w:r>
          </w:p>
        </w:tc>
        <w:tc>
          <w:tcPr>
            <w:tcW w:type="dxa" w:w="701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Nội dung</w:t>
            </w:r>
          </w:p>
        </w:tc>
      </w:tr>
      <w:tr>
        <w:tc>
          <w:tcPr>
            <w:tcW w:type="dxa" w:w="20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Sự kiện bắt đầu</w:t>
            </w:r>
          </w:p>
        </w:tc>
        <w:tc>
          <w:tcPr>
            <w:tcW w:type="dxa" w:w="70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Đơn hàng đã đóng gói, đủ điều kiện xuất kho và sẵn sàng giao.</w:t>
            </w:r>
          </w:p>
        </w:tc>
      </w:tr>
      <w:tr>
        <w:tc>
          <w:tcPr>
            <w:tcW w:type="dxa" w:w="20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Đầu vào</w:t>
            </w:r>
          </w:p>
        </w:tc>
        <w:tc>
          <w:tcPr>
            <w:tcW w:type="dxa" w:w="70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Thông tin đơn hàng, địa chỉ, số điện thoại, phương thức thanh toán, kiện hàng và mã vận đơn.</w:t>
            </w:r>
          </w:p>
        </w:tc>
      </w:tr>
      <w:tr>
        <w:tc>
          <w:tcPr>
            <w:tcW w:type="dxa" w:w="20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Đầu ra thành công</w:t>
            </w:r>
          </w:p>
        </w:tc>
        <w:tc>
          <w:tcPr>
            <w:tcW w:type="dxa" w:w="70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Trạng thái Đã giao, bằng chứng POD và dữ liệu thanh toán COD nếu có.</w:t>
            </w:r>
          </w:p>
        </w:tc>
      </w:tr>
      <w:tr>
        <w:tc>
          <w:tcPr>
            <w:tcW w:type="dxa" w:w="20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Đầu ra ngoại lệ</w:t>
            </w:r>
          </w:p>
        </w:tc>
        <w:tc>
          <w:tcPr>
            <w:tcW w:type="dxa" w:w="70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Trạng thái Giao thất bại/Từ chối nhận, lý do, bằng chứng và yêu cầu hoàn hàng.</w:t>
            </w:r>
          </w:p>
        </w:tc>
      </w:tr>
      <w:tr>
        <w:tc>
          <w:tcPr>
            <w:tcW w:type="dxa" w:w="20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Chủ sở hữu quy trình</w:t>
            </w:r>
          </w:p>
        </w:tc>
        <w:tc>
          <w:tcPr>
            <w:tcW w:type="dxa" w:w="70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Bộ phận vận hành giao nhận hoặc quản lý đơn hàng.</w:t>
            </w:r>
          </w:p>
        </w:tc>
      </w:tr>
      <w:tr>
        <w:tc>
          <w:tcPr>
            <w:tcW w:type="dxa" w:w="20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Khách hàng quy trình</w:t>
            </w:r>
          </w:p>
        </w:tc>
        <w:tc>
          <w:tcPr>
            <w:tcW w:type="dxa" w:w="70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Người nhận hàng; các bộ phận OMS, điều phối, kho và tài chính là khách hàng nội bộ của dữ liệu xác nhận.</w:t>
            </w:r>
          </w:p>
        </w:tc>
      </w:tr>
    </w:tbl>
    <w:p>
      <w:pPr>
        <w:pStyle w:val="Caption"/>
      </w:pPr>
      <w:r>
        <w:t>Bảng 3.6.1. Phạm vi quy trình giao hàng tận nơi và xác nhận</w:t>
      </w:r>
    </w:p>
    <w:p>
      <w:pPr>
        <w:spacing w:after="60" w:line="320" w:lineRule="exact"/>
        <w:ind w:left="425" w:hanging="312"/>
        <w:jc w:val="both"/>
      </w:pPr>
      <w:r>
        <w:rPr>
          <w:rFonts w:ascii="Times New Roman" w:hAnsi="Times New Roman" w:eastAsia="Times New Roman"/>
        </w:rPr>
        <w:t>1.  Hệ thống OMS/CSKH kiểm tra địa chỉ giao, thông tin liên hệ và phương thức thanh toán. Nếu thiếu hoặc sai thông tin, nhân viên liên hệ khách hàng để cập nhật rồi kiểm tra lại.</w:t>
      </w:r>
    </w:p>
    <w:p>
      <w:pPr>
        <w:spacing w:after="60" w:line="320" w:lineRule="exact"/>
        <w:ind w:left="425" w:hanging="312"/>
        <w:jc w:val="both"/>
      </w:pPr>
      <w:r>
        <w:rPr>
          <w:rFonts w:ascii="Times New Roman" w:hAnsi="Times New Roman" w:eastAsia="Times New Roman"/>
        </w:rPr>
        <w:t>2.  Điều phối tạo vận đơn, phân công nhân viên giao hàng và sắp xếp tuyến giao; sau đó bàn giao kiện hàng cho nhân viên phụ trách.</w:t>
      </w:r>
    </w:p>
    <w:p>
      <w:pPr>
        <w:spacing w:after="60" w:line="320" w:lineRule="exact"/>
        <w:ind w:left="425" w:hanging="312"/>
        <w:jc w:val="both"/>
      </w:pPr>
      <w:r>
        <w:rPr>
          <w:rFonts w:ascii="Times New Roman" w:hAnsi="Times New Roman" w:eastAsia="Times New Roman"/>
        </w:rPr>
        <w:t>3.  Nhân viên giao hàng kiểm tra mã vận đơn, số lượng và tình trạng bên ngoài của kiện hàng, rồi xác nhận đã nhận kiện trên ứng dụng.</w:t>
      </w:r>
    </w:p>
    <w:p>
      <w:pPr>
        <w:spacing w:after="60" w:line="320" w:lineRule="exact"/>
        <w:ind w:left="425" w:hanging="312"/>
        <w:jc w:val="both"/>
      </w:pPr>
      <w:r>
        <w:rPr>
          <w:rFonts w:ascii="Times New Roman" w:hAnsi="Times New Roman" w:eastAsia="Times New Roman"/>
        </w:rPr>
        <w:t>4.  Trước khi đến địa chỉ, nhân viên hoặc hệ thống gửi thời gian giao dự kiến và chờ phản hồi của khách hàng.</w:t>
      </w:r>
    </w:p>
    <w:p>
      <w:pPr>
        <w:spacing w:after="60" w:line="320" w:lineRule="exact"/>
        <w:ind w:left="425" w:hanging="312"/>
        <w:jc w:val="both"/>
      </w:pPr>
      <w:r>
        <w:rPr>
          <w:rFonts w:ascii="Times New Roman" w:hAnsi="Times New Roman" w:eastAsia="Times New Roman"/>
        </w:rPr>
        <w:t>5.  Nếu không liên hệ được, nhân viên ghi nhận lần giao thất bại. Khi còn lượt giao lại, quy trình chờ đến lịch mới và thực hiện liên hệ lại; nếu hết lượt, kiện hàng được hoàn về điểm tập kết.</w:t>
      </w:r>
    </w:p>
    <w:p>
      <w:pPr>
        <w:spacing w:after="60" w:line="320" w:lineRule="exact"/>
        <w:ind w:left="425" w:hanging="312"/>
        <w:jc w:val="both"/>
      </w:pPr>
      <w:r>
        <w:rPr>
          <w:rFonts w:ascii="Times New Roman" w:hAnsi="Times New Roman" w:eastAsia="Times New Roman"/>
        </w:rPr>
        <w:t>6.  Nếu khách có thể nhận, nhân viên bàn giao kiện để khách kiểm tra. Khách có thể chấp nhận hoặc từ chối, trong đó trường hợp từ chối phải ghi rõ lý do và bằng chứng.</w:t>
      </w:r>
    </w:p>
    <w:p>
      <w:pPr>
        <w:spacing w:after="60" w:line="320" w:lineRule="exact"/>
        <w:ind w:left="425" w:hanging="312"/>
        <w:jc w:val="both"/>
      </w:pPr>
      <w:r>
        <w:rPr>
          <w:rFonts w:ascii="Times New Roman" w:hAnsi="Times New Roman" w:eastAsia="Times New Roman"/>
        </w:rPr>
        <w:t>7.  Với đơn COD, nhân viên thu tiền và kiểm tra giao dịch. Thanh toán thất bại dẫn đến ghi nhận ngoại lệ và hoàn hàng.</w:t>
      </w:r>
    </w:p>
    <w:p>
      <w:pPr>
        <w:spacing w:after="60" w:line="320" w:lineRule="exact"/>
        <w:ind w:left="425" w:hanging="312"/>
        <w:jc w:val="both"/>
      </w:pPr>
      <w:r>
        <w:rPr>
          <w:rFonts w:ascii="Times New Roman" w:hAnsi="Times New Roman" w:eastAsia="Times New Roman"/>
        </w:rPr>
        <w:t>8.  Sau khi khách chấp nhận, khách cung cấp OTP, chữ ký hoặc xác nhận điện tử; hệ thống cập nhật trạng thái Đã giao và gửi thông báo hoàn tất.</w:t>
      </w:r>
    </w:p>
    <w:p>
      <w:pPr>
        <w:sectPr>
          <w:headerReference w:type="default" r:id="rId9"/>
          <w:footerReference w:type="default" r:id="rId10"/>
          <w:pgSz w:w="11906" w:h="16838"/>
          <w:pgMar w:top="1191" w:right="1191" w:bottom="1191" w:left="1191" w:header="510" w:footer="510" w:gutter="0"/>
          <w:cols w:space="720"/>
          <w:docGrid w:linePitch="360"/>
        </w:sectPr>
      </w:pPr>
    </w:p>
    <w:p>
      <w:pPr>
        <w:spacing w:before="0" w:after="140" w:line="240" w:lineRule="auto"/>
        <w:jc w:val="left"/>
      </w:pPr>
      <w:r>
        <w:rPr>
          <w:rFonts w:ascii="Times New Roman" w:hAnsi="Times New Roman" w:eastAsia="Times New Roman"/>
          <w:b/>
          <w:color w:val="17365D"/>
          <w:sz w:val="32"/>
        </w:rPr>
        <w:t>3.6.2. Mô hình BPMN AS-IS</w:t>
      </w:r>
    </w:p>
    <w:p>
      <w:pPr>
        <w:jc w:val="center"/>
      </w:pPr>
      <w:r>
        <w:drawing>
          <wp:inline xmlns:a="http://schemas.openxmlformats.org/drawingml/2006/main" xmlns:pic="http://schemas.openxmlformats.org/drawingml/2006/picture">
            <wp:extent cx="9504000" cy="3263040"/>
            <wp:docPr id="1" name="BPMN quy trình giao hàng tận nơi và xác nhận" descr="Sơ đồ BPMN gồm pool đơn vị bán hàng giao nhận và pool khách hàng; thể hiện các nhánh giao lại, từ chối, COD và xác nhận POD."/>
            <wp:cNvGraphicFramePr>
              <a:graphicFrameLocks noChangeAspect="1"/>
            </wp:cNvGraphicFramePr>
            <a:graphic>
              <a:graphicData uri="http://schemas.openxmlformats.org/drawingml/2006/picture">
                <pic:pic>
                  <pic:nvPicPr>
                    <pic:cNvPr id="0" name="quy-trinh-06-giao-hang-tan-noi-xac-nhan.png"/>
                    <pic:cNvPicPr/>
                  </pic:nvPicPr>
                  <pic:blipFill>
                    <a:blip r:embed="rId13"/>
                    <a:stretch>
                      <a:fillRect/>
                    </a:stretch>
                  </pic:blipFill>
                  <pic:spPr>
                    <a:xfrm>
                      <a:off x="0" y="0"/>
                      <a:ext cx="9504000" cy="3263040"/>
                    </a:xfrm>
                    <a:prstGeom prst="rect"/>
                  </pic:spPr>
                </pic:pic>
              </a:graphicData>
            </a:graphic>
          </wp:inline>
        </w:drawing>
      </w:r>
    </w:p>
    <w:p>
      <w:pPr>
        <w:pStyle w:val="Caption"/>
      </w:pPr>
      <w:r>
        <w:t>Hình 3.6.1. Mô hình BPMN AS-IS - Giao hàng tận nơi &amp; xác nhận</w:t>
      </w:r>
    </w:p>
    <w:tbl>
      <w:tblPr>
        <w:tblW w:type="dxa" w:w="9060"/>
        <w:jc w:val="center"/>
        <w:tblLayout w:type="fixed"/>
        <w:tblLook w:firstColumn="1" w:firstRow="1" w:lastColumn="0" w:lastRow="0" w:noHBand="0" w:noVBand="1" w:val="04A0"/>
        <w:tblInd w:w="0" w:type="dxa"/>
        <w:tblBorders>
          <w:top w:val="single" w:sz="7" w:color="9FBAD0"/>
          <w:left w:val="single" w:sz="7" w:color="9FBAD0"/>
          <w:bottom w:val="single" w:sz="7" w:color="9FBAD0"/>
          <w:right w:val="single" w:sz="7" w:color="9FBAD0"/>
          <w:insideH w:val="single" w:sz="7" w:color="9FBAD0"/>
          <w:insideV w:val="single" w:sz="7" w:color="9FBAD0"/>
        </w:tblBorders>
      </w:tblPr>
      <w:tblGrid>
        <w:gridCol w:w="9060"/>
      </w:tblGrid>
      <w:tr>
        <w:tc>
          <w:tcPr>
            <w:tcW w:type="dxa" w:w="9060"/>
            <w:shd w:fill="F3F7FB"/>
            <w:tcMar>
              <w:top w:w="140" w:type="dxa"/>
              <w:start w:w="160" w:type="dxa"/>
              <w:bottom w:w="140" w:type="dxa"/>
              <w:end w:w="160" w:type="dxa"/>
            </w:tcMar>
          </w:tcPr>
          <w:p>
            <w:pPr>
              <w:spacing w:before="0" w:after="0" w:line="283" w:lineRule="auto"/>
            </w:pPr>
            <w:r>
              <w:rPr>
                <w:rFonts w:ascii="Times New Roman" w:hAnsi="Times New Roman" w:eastAsia="Times New Roman"/>
                <w:b/>
                <w:color w:val="17365D"/>
                <w:sz w:val="21"/>
              </w:rPr>
              <w:t xml:space="preserve">Cách đọc: </w:t>
            </w:r>
            <w:r>
              <w:rPr>
                <w:rFonts w:ascii="Times New Roman" w:hAnsi="Times New Roman" w:eastAsia="Times New Roman"/>
                <w:sz w:val="21"/>
              </w:rPr>
              <w:t>Pool trên gồm ba lane: OMS/CSKH, Điều phối giao hàng và Nhân viên giao hàng. Pool dưới thể hiện các tương tác của khách hàng. Đường liền là sequence flow; đường nét đứt là message flow giữa hai pool.</w:t>
            </w:r>
          </w:p>
        </w:tc>
      </w:tr>
    </w:tbl>
    <w:p>
      <w:pPr>
        <w:spacing w:after="20"/>
      </w:pPr>
    </w:p>
    <w:p>
      <w:pPr>
        <w:sectPr>
          <w:headerReference w:type="default" r:id="rId11"/>
          <w:footerReference w:type="default" r:id="rId12"/>
          <w:pgSz w:w="16838" w:h="11906" w:orient="landscape"/>
          <w:pgMar w:top="850" w:right="794" w:bottom="850" w:left="794" w:header="510" w:footer="510" w:gutter="0"/>
          <w:cols w:space="720"/>
          <w:docGrid w:linePitch="360"/>
        </w:sectPr>
      </w:pPr>
    </w:p>
    <w:p>
      <w:pPr>
        <w:pStyle w:val="Heading2"/>
      </w:pPr>
      <w:r>
        <w:t>3.6.3. Phân tích quy trình</w:t>
      </w:r>
    </w:p>
    <w:p>
      <w:pPr>
        <w:pStyle w:val="Heading3"/>
      </w:pPr>
      <w:r>
        <w:t>3.6.3.1. Các tác nhân tham gia</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1700"/>
        <w:gridCol w:w="4250"/>
        <w:gridCol w:w="3110"/>
      </w:tblGrid>
      <w:tr>
        <w:trPr>
          <w:tblHeader w:val="true"/>
        </w:trPr>
        <w:tc>
          <w:tcPr>
            <w:tcW w:type="dxa" w:w="17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Tác nhân</w:t>
            </w:r>
          </w:p>
        </w:tc>
        <w:tc>
          <w:tcPr>
            <w:tcW w:type="dxa" w:w="42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Trách nhiệm chính</w:t>
            </w:r>
          </w:p>
        </w:tc>
        <w:tc>
          <w:tcPr>
            <w:tcW w:type="dxa" w:w="311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Thông tin sử dụng/tạo ra</w:t>
            </w:r>
          </w:p>
        </w:tc>
      </w:tr>
      <w:tr>
        <w:tc>
          <w:tcPr>
            <w:tcW w:type="dxa" w:w="17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OMS/CSKH</w:t>
            </w:r>
          </w:p>
        </w:tc>
        <w:tc>
          <w:tcPr>
            <w:tcW w:type="dxa" w:w="42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Kiểm tra dữ liệu đơn; bổ sung thông tin; cập nhật kết quả và thông báo.</w:t>
            </w:r>
          </w:p>
        </w:tc>
        <w:tc>
          <w:tcPr>
            <w:tcW w:type="dxa" w:w="31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Đơn hàng, trạng thái, lịch sử liên hệ.</w:t>
            </w:r>
          </w:p>
        </w:tc>
      </w:tr>
      <w:tr>
        <w:tc>
          <w:tcPr>
            <w:tcW w:type="dxa" w:w="17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Điều phối giao hàng</w:t>
            </w:r>
          </w:p>
        </w:tc>
        <w:tc>
          <w:tcPr>
            <w:tcW w:type="dxa" w:w="42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Tạo vận đơn, phân tuyến, giao việc và tiếp nhận ngoại lệ.</w:t>
            </w:r>
          </w:p>
        </w:tc>
        <w:tc>
          <w:tcPr>
            <w:tcW w:type="dxa" w:w="31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Mã vận đơn, tuyến, năng lực giao.</w:t>
            </w:r>
          </w:p>
        </w:tc>
      </w:tr>
      <w:tr>
        <w:tc>
          <w:tcPr>
            <w:tcW w:type="dxa" w:w="17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Nhân viên giao hàng</w:t>
            </w:r>
          </w:p>
        </w:tc>
        <w:tc>
          <w:tcPr>
            <w:tcW w:type="dxa" w:w="42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Nhận kiện, liên hệ, giao hàng, thu COD, ghi nhận POD hoặc hoàn hàng.</w:t>
            </w:r>
          </w:p>
        </w:tc>
        <w:tc>
          <w:tcPr>
            <w:tcW w:type="dxa" w:w="31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Ứng dụng giao hàng, OTP, ảnh, vị trí.</w:t>
            </w:r>
          </w:p>
        </w:tc>
      </w:tr>
      <w:tr>
        <w:tc>
          <w:tcPr>
            <w:tcW w:type="dxa" w:w="17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Khách hàng</w:t>
            </w:r>
          </w:p>
        </w:tc>
        <w:tc>
          <w:tcPr>
            <w:tcW w:type="dxa" w:w="42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Xác nhận thời gian nhận, kiểm tra kiện, thanh toán COD và xác nhận nhận hàng.</w:t>
            </w:r>
          </w:p>
        </w:tc>
        <w:tc>
          <w:tcPr>
            <w:tcW w:type="dxa" w:w="31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Thông tin nhận, quyết định nhận/từ chối.</w:t>
            </w:r>
          </w:p>
        </w:tc>
      </w:tr>
      <w:tr>
        <w:tc>
          <w:tcPr>
            <w:tcW w:type="dxa" w:w="17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Kho/điểm tập kết</w:t>
            </w:r>
          </w:p>
        </w:tc>
        <w:tc>
          <w:tcPr>
            <w:tcW w:type="dxa" w:w="42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Bàn giao kiện đi và tiếp nhận kiện hoàn.</w:t>
            </w:r>
          </w:p>
        </w:tc>
        <w:tc>
          <w:tcPr>
            <w:tcW w:type="dxa" w:w="31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Phiếu bàn giao, mã kiện, tình trạng hàng.</w:t>
            </w:r>
          </w:p>
        </w:tc>
      </w:tr>
      <w:tr>
        <w:tc>
          <w:tcPr>
            <w:tcW w:type="dxa" w:w="17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Tài chính/đối soát</w:t>
            </w:r>
          </w:p>
        </w:tc>
        <w:tc>
          <w:tcPr>
            <w:tcW w:type="dxa" w:w="42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Kiểm tra khoản COD và xử lý chênh lệch.</w:t>
            </w:r>
          </w:p>
        </w:tc>
        <w:tc>
          <w:tcPr>
            <w:tcW w:type="dxa" w:w="31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Giao dịch, biên nhận, báo cáo COD.</w:t>
            </w:r>
          </w:p>
        </w:tc>
      </w:tr>
    </w:tbl>
    <w:p>
      <w:pPr>
        <w:pStyle w:val="Caption"/>
      </w:pPr>
      <w:r>
        <w:t>Bảng 3.6.2. Tác nhân và trách nhiệm trong quy trình</w:t>
      </w:r>
    </w:p>
    <w:p>
      <w:pPr>
        <w:pStyle w:val="Heading3"/>
      </w:pPr>
      <w:r>
        <w:t>3.6.3.2. Giá trị mà quy trình mang lại</w:t>
      </w:r>
    </w:p>
    <w:p>
      <w:pPr>
        <w:spacing w:after="60" w:line="320" w:lineRule="exact"/>
        <w:ind w:left="425" w:hanging="312"/>
        <w:jc w:val="both"/>
      </w:pPr>
      <w:r>
        <w:rPr>
          <w:rFonts w:ascii="Times New Roman" w:hAnsi="Times New Roman" w:eastAsia="Times New Roman"/>
        </w:rPr>
        <w:t>•  Tiện lợi: khách hàng nhận sản phẩm tại địa chỉ mong muốn và được chủ động xác nhận thời gian nhận.</w:t>
      </w:r>
    </w:p>
    <w:p>
      <w:pPr>
        <w:spacing w:after="60" w:line="320" w:lineRule="exact"/>
        <w:ind w:left="425" w:hanging="312"/>
        <w:jc w:val="both"/>
      </w:pPr>
      <w:r>
        <w:rPr>
          <w:rFonts w:ascii="Times New Roman" w:hAnsi="Times New Roman" w:eastAsia="Times New Roman"/>
        </w:rPr>
        <w:t>•  Tin cậy: OTP, chữ ký, ảnh POD và dấu thời gian tạo bằng chứng về việc giao nhận.</w:t>
      </w:r>
    </w:p>
    <w:p>
      <w:pPr>
        <w:spacing w:after="60" w:line="320" w:lineRule="exact"/>
        <w:ind w:left="425" w:hanging="312"/>
        <w:jc w:val="both"/>
      </w:pPr>
      <w:r>
        <w:rPr>
          <w:rFonts w:ascii="Times New Roman" w:hAnsi="Times New Roman" w:eastAsia="Times New Roman"/>
        </w:rPr>
        <w:t>•  Minh bạch: trạng thái đơn hàng và lý do ngoại lệ được cập nhật xuyên suốt giữa OMS, điều phối và ứng dụng giao hàng.</w:t>
      </w:r>
    </w:p>
    <w:p>
      <w:pPr>
        <w:spacing w:after="60" w:line="320" w:lineRule="exact"/>
        <w:ind w:left="425" w:hanging="312"/>
        <w:jc w:val="both"/>
      </w:pPr>
      <w:r>
        <w:rPr>
          <w:rFonts w:ascii="Times New Roman" w:hAnsi="Times New Roman" w:eastAsia="Times New Roman"/>
        </w:rPr>
        <w:t>•  Bảo vệ doanh thu: quy trình thu và đối soát COD giảm thất thoát, đồng thời hỗ trợ kiểm tra giao dịch.</w:t>
      </w:r>
    </w:p>
    <w:p>
      <w:pPr>
        <w:spacing w:after="60" w:line="320" w:lineRule="exact"/>
        <w:ind w:left="425" w:hanging="312"/>
        <w:jc w:val="both"/>
      </w:pPr>
      <w:r>
        <w:rPr>
          <w:rFonts w:ascii="Times New Roman" w:hAnsi="Times New Roman" w:eastAsia="Times New Roman"/>
        </w:rPr>
        <w:t>•  Khả năng xử lý ngoại lệ: các nhánh giao lại, từ chối nhận, lỗi thanh toán và hoàn hàng được quy định rõ.</w:t>
      </w:r>
    </w:p>
    <w:p>
      <w:pPr>
        <w:pStyle w:val="Heading3"/>
      </w:pPr>
      <w:r>
        <w:t>3.6.3.3. Các kết quả có thể xảy ra</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2000"/>
        <w:gridCol w:w="4930"/>
        <w:gridCol w:w="2130"/>
      </w:tblGrid>
      <w:tr>
        <w:trPr>
          <w:tblHeader w:val="true"/>
        </w:trPr>
        <w:tc>
          <w:tcPr>
            <w:tcW w:type="dxa" w:w="20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Kết quả</w:t>
            </w:r>
          </w:p>
        </w:tc>
        <w:tc>
          <w:tcPr>
            <w:tcW w:type="dxa" w:w="493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Điều kiện</w:t>
            </w:r>
          </w:p>
        </w:tc>
        <w:tc>
          <w:tcPr>
            <w:tcW w:type="dxa" w:w="213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Trạng thái cuối</w:t>
            </w:r>
          </w:p>
        </w:tc>
      </w:tr>
      <w:tr>
        <w:tc>
          <w:tcPr>
            <w:tcW w:type="dxa" w:w="20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Giao thành công</w:t>
            </w:r>
          </w:p>
        </w:tc>
        <w:tc>
          <w:tcPr>
            <w:tcW w:type="dxa" w:w="493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Khách chấp nhận; COD thanh toán thành công nếu có; đã ghi nhận POD.</w:t>
            </w:r>
          </w:p>
        </w:tc>
        <w:tc>
          <w:tcPr>
            <w:tcW w:type="dxa" w:w="213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Đã giao</w:t>
            </w:r>
          </w:p>
        </w:tc>
      </w:tr>
      <w:tr>
        <w:tc>
          <w:tcPr>
            <w:tcW w:type="dxa" w:w="20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Không liên hệ được</w:t>
            </w:r>
          </w:p>
        </w:tc>
        <w:tc>
          <w:tcPr>
            <w:tcW w:type="dxa" w:w="493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Hết số lượt giao lại nhưng khách vẫn không phản hồi.</w:t>
            </w:r>
          </w:p>
        </w:tc>
        <w:tc>
          <w:tcPr>
            <w:tcW w:type="dxa" w:w="213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Giao thất bại - Không liên hệ được</w:t>
            </w:r>
          </w:p>
        </w:tc>
      </w:tr>
      <w:tr>
        <w:tc>
          <w:tcPr>
            <w:tcW w:type="dxa" w:w="20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Khách từ chối nhận</w:t>
            </w:r>
          </w:p>
        </w:tc>
        <w:tc>
          <w:tcPr>
            <w:tcW w:type="dxa" w:w="493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Sai hàng, hư hỏng, giao trễ hoặc khách thay đổi nhu cầu.</w:t>
            </w:r>
          </w:p>
        </w:tc>
        <w:tc>
          <w:tcPr>
            <w:tcW w:type="dxa" w:w="213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Từ chối nhận - Chờ hoàn</w:t>
            </w:r>
          </w:p>
        </w:tc>
      </w:tr>
      <w:tr>
        <w:tc>
          <w:tcPr>
            <w:tcW w:type="dxa" w:w="20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Thanh toán COD thất bại</w:t>
            </w:r>
          </w:p>
        </w:tc>
        <w:tc>
          <w:tcPr>
            <w:tcW w:type="dxa" w:w="493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Không thu được tiền hoặc giao dịch điện tử tại điểm giao thất bại.</w:t>
            </w:r>
          </w:p>
        </w:tc>
        <w:tc>
          <w:tcPr>
            <w:tcW w:type="dxa" w:w="213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Giao thất bại - Lỗi thanh toán</w:t>
            </w:r>
          </w:p>
        </w:tc>
      </w:tr>
      <w:tr>
        <w:tc>
          <w:tcPr>
            <w:tcW w:type="dxa" w:w="20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Hoàn hàng</w:t>
            </w:r>
          </w:p>
        </w:tc>
        <w:tc>
          <w:tcPr>
            <w:tcW w:type="dxa" w:w="493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Kiện được đưa về điểm tập kết và biên bản hoàn đã được xác nhận.</w:t>
            </w:r>
          </w:p>
        </w:tc>
        <w:tc>
          <w:tcPr>
            <w:tcW w:type="dxa" w:w="213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Đã hoàn</w:t>
            </w:r>
          </w:p>
        </w:tc>
      </w:tr>
    </w:tbl>
    <w:p>
      <w:pPr>
        <w:pStyle w:val="Caption"/>
      </w:pPr>
      <w:r>
        <w:t>Bảng 3.6.3. Các kết quả của quy trình</w:t>
      </w:r>
    </w:p>
    <w:p>
      <w:pPr>
        <w:pStyle w:val="Heading2"/>
        <w:spacing w:before="840"/>
      </w:pPr>
      <w:r>
        <w:t>3.6.4. Phân tích định tính</w:t>
      </w:r>
    </w:p>
    <w:p>
      <w:pPr>
        <w:pStyle w:val="Heading3"/>
      </w:pPr>
      <w:r>
        <w:t>3.6.4.1. Phân tích giá trị gia tăng</w:t>
      </w:r>
    </w:p>
    <w:p>
      <w:pPr>
        <w:spacing w:before="0" w:after="120" w:line="307" w:lineRule="auto"/>
        <w:jc w:val="both"/>
      </w:pPr>
      <w:r>
        <w:rPr>
          <w:rFonts w:ascii="Times New Roman" w:hAnsi="Times New Roman" w:eastAsia="Times New Roman"/>
          <w:i w:val="0"/>
        </w:rPr>
        <w:t>Các hoạt động được phân loại theo ba nhóm: VA - tạo giá trị trực tiếp cho khách hàng; BVA - cần thiết cho doanh nghiệp; NVA - không tạo giá trị và cần loại bỏ hoặc giảm thiểu.</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2850"/>
        <w:gridCol w:w="1800"/>
        <w:gridCol w:w="850"/>
        <w:gridCol w:w="3560"/>
      </w:tblGrid>
      <w:tr>
        <w:trPr>
          <w:tblHeader w:val="true"/>
        </w:trPr>
        <w:tc>
          <w:tcPr>
            <w:tcW w:type="dxa" w:w="28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Hoạt động</w:t>
            </w:r>
          </w:p>
        </w:tc>
        <w:tc>
          <w:tcPr>
            <w:tcW w:type="dxa" w:w="18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Người thực hiện</w:t>
            </w:r>
          </w:p>
        </w:tc>
        <w:tc>
          <w:tcPr>
            <w:tcW w:type="dxa" w:w="8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Loại</w:t>
            </w:r>
          </w:p>
        </w:tc>
        <w:tc>
          <w:tcPr>
            <w:tcW w:type="dxa" w:w="356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Giải thích</w:t>
            </w:r>
          </w:p>
        </w:tc>
      </w:tr>
      <w:tr>
        <w:tc>
          <w:tcPr>
            <w:tcW w:type="dxa" w:w="28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Kiểm tra dữ liệu đơn</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OMS/CSKH</w:t>
            </w:r>
          </w:p>
        </w:tc>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BVA</w:t>
            </w:r>
          </w:p>
        </w:tc>
        <w:tc>
          <w:tcPr>
            <w:tcW w:type="dxa" w:w="35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Giảm rủi ro giao sai và tạo điều kiện thực hiện giao hàng.</w:t>
            </w:r>
          </w:p>
        </w:tc>
      </w:tr>
      <w:tr>
        <w:tc>
          <w:tcPr>
            <w:tcW w:type="dxa" w:w="28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Liên hệ cập nhật thông tin sai/thiếu</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OMS/CSKH</w:t>
            </w:r>
          </w:p>
        </w:tc>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NVA</w:t>
            </w:r>
          </w:p>
        </w:tc>
        <w:tc>
          <w:tcPr>
            <w:tcW w:type="dxa" w:w="35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Là vòng làm lại phát sinh do dữ liệu đầu vào không đạt chất lượng.</w:t>
            </w:r>
          </w:p>
        </w:tc>
      </w:tr>
      <w:tr>
        <w:tc>
          <w:tcPr>
            <w:tcW w:type="dxa" w:w="28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Tạo vận đơn</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Điều phối</w:t>
            </w:r>
          </w:p>
        </w:tc>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BVA</w:t>
            </w:r>
          </w:p>
        </w:tc>
        <w:tc>
          <w:tcPr>
            <w:tcW w:type="dxa" w:w="35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Cần cho kiểm soát, truy vết và phân công.</w:t>
            </w:r>
          </w:p>
        </w:tc>
      </w:tr>
      <w:tr>
        <w:tc>
          <w:tcPr>
            <w:tcW w:type="dxa" w:w="28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Phân công tuyến giao</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Điều phối</w:t>
            </w:r>
          </w:p>
        </w:tc>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BVA</w:t>
            </w:r>
          </w:p>
        </w:tc>
        <w:tc>
          <w:tcPr>
            <w:tcW w:type="dxa" w:w="35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Tối ưu nguồn lực và cam kết thời gian.</w:t>
            </w:r>
          </w:p>
        </w:tc>
      </w:tr>
      <w:tr>
        <w:tc>
          <w:tcPr>
            <w:tcW w:type="dxa" w:w="28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Bàn giao kiện</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Điều phối/Kho</w:t>
            </w:r>
          </w:p>
        </w:tc>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BVA</w:t>
            </w:r>
          </w:p>
        </w:tc>
        <w:tc>
          <w:tcPr>
            <w:tcW w:type="dxa" w:w="35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Đảm bảo trách nhiệm và tình trạng kiện rõ ràng.</w:t>
            </w:r>
          </w:p>
        </w:tc>
      </w:tr>
      <w:tr>
        <w:tc>
          <w:tcPr>
            <w:tcW w:type="dxa" w:w="28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Kiểm tra và xác nhận nhận kiện</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Nhân viên giao</w:t>
            </w:r>
          </w:p>
        </w:tc>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BVA</w:t>
            </w:r>
          </w:p>
        </w:tc>
        <w:tc>
          <w:tcPr>
            <w:tcW w:type="dxa" w:w="35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Hạn chế thất lạc, giao nhầm và tranh chấp.</w:t>
            </w:r>
          </w:p>
        </w:tc>
      </w:tr>
      <w:tr>
        <w:tc>
          <w:tcPr>
            <w:tcW w:type="dxa" w:w="28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Thông báo ETA</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Hệ thống/Nhân viên giao</w:t>
            </w:r>
          </w:p>
        </w:tc>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VA</w:t>
            </w:r>
          </w:p>
        </w:tc>
        <w:tc>
          <w:tcPr>
            <w:tcW w:type="dxa" w:w="35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Giúp khách chủ động sắp xếp nhận hàng.</w:t>
            </w:r>
          </w:p>
        </w:tc>
      </w:tr>
      <w:tr>
        <w:tc>
          <w:tcPr>
            <w:tcW w:type="dxa" w:w="28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Chờ phản hồi hoặc chờ giao lại</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Tất cả</w:t>
            </w:r>
          </w:p>
        </w:tc>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NVA</w:t>
            </w:r>
          </w:p>
        </w:tc>
        <w:tc>
          <w:tcPr>
            <w:tcW w:type="dxa" w:w="35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Không tạo thêm giá trị; làm tăng cycle time.</w:t>
            </w:r>
          </w:p>
        </w:tc>
      </w:tr>
      <w:tr>
        <w:tc>
          <w:tcPr>
            <w:tcW w:type="dxa" w:w="28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Vận chuyển và bàn giao hàng</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Nhân viên giao</w:t>
            </w:r>
          </w:p>
        </w:tc>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VA</w:t>
            </w:r>
          </w:p>
        </w:tc>
        <w:tc>
          <w:tcPr>
            <w:tcW w:type="dxa" w:w="35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Trực tiếp đưa sản phẩm đến khách hàng.</w:t>
            </w:r>
          </w:p>
        </w:tc>
      </w:tr>
      <w:tr>
        <w:tc>
          <w:tcPr>
            <w:tcW w:type="dxa" w:w="28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Khách kiểm tra kiện</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Khách hàng</w:t>
            </w:r>
          </w:p>
        </w:tc>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VA</w:t>
            </w:r>
          </w:p>
        </w:tc>
        <w:tc>
          <w:tcPr>
            <w:tcW w:type="dxa" w:w="35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Tăng sự tin tưởng và quyền kiểm soát trước khi nhận.</w:t>
            </w:r>
          </w:p>
        </w:tc>
      </w:tr>
      <w:tr>
        <w:tc>
          <w:tcPr>
            <w:tcW w:type="dxa" w:w="28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Thu tiền COD</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Nhân viên giao</w:t>
            </w:r>
          </w:p>
        </w:tc>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BVA</w:t>
            </w:r>
          </w:p>
        </w:tc>
        <w:tc>
          <w:tcPr>
            <w:tcW w:type="dxa" w:w="35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Cần cho dòng tiền và điều kiện hoàn tất đơn COD.</w:t>
            </w:r>
          </w:p>
        </w:tc>
      </w:tr>
      <w:tr>
        <w:tc>
          <w:tcPr>
            <w:tcW w:type="dxa" w:w="28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Nhận OTP/chữ ký/ảnh POD</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Nhân viên giao</w:t>
            </w:r>
          </w:p>
        </w:tc>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BVA</w:t>
            </w:r>
          </w:p>
        </w:tc>
        <w:tc>
          <w:tcPr>
            <w:tcW w:type="dxa" w:w="35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Tạo bằng chứng giao hàng và hỗ trợ đối soát.</w:t>
            </w:r>
          </w:p>
        </w:tc>
      </w:tr>
      <w:tr>
        <w:tc>
          <w:tcPr>
            <w:tcW w:type="dxa" w:w="28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Cập nhật Đã giao</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OMS</w:t>
            </w:r>
          </w:p>
        </w:tc>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BVA</w:t>
            </w:r>
          </w:p>
        </w:tc>
        <w:tc>
          <w:tcPr>
            <w:tcW w:type="dxa" w:w="35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Đóng đơn, kích hoạt hóa đơn và hậu mãi.</w:t>
            </w:r>
          </w:p>
        </w:tc>
      </w:tr>
      <w:tr>
        <w:tc>
          <w:tcPr>
            <w:tcW w:type="dxa" w:w="285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Ghi nhận giao thất bại</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Nhân viên giao</w:t>
            </w:r>
          </w:p>
        </w:tc>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NVA</w:t>
            </w:r>
          </w:p>
        </w:tc>
        <w:tc>
          <w:tcPr>
            <w:tcW w:type="dxa" w:w="35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Là xử lý ngoại lệ; cần rút ngắn và chuẩn hóa.</w:t>
            </w:r>
          </w:p>
        </w:tc>
      </w:tr>
      <w:tr>
        <w:tc>
          <w:tcPr>
            <w:tcW w:type="dxa" w:w="285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Hoàn hàng</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Nhân viên giao/Kho</w:t>
            </w:r>
          </w:p>
        </w:tc>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NVA</w:t>
            </w:r>
          </w:p>
        </w:tc>
        <w:tc>
          <w:tcPr>
            <w:tcW w:type="dxa" w:w="35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Vận chuyển ngược phát sinh do quy trình không đạt kết quả.</w:t>
            </w:r>
          </w:p>
        </w:tc>
      </w:tr>
    </w:tbl>
    <w:p>
      <w:pPr>
        <w:pStyle w:val="Caption"/>
      </w:pPr>
      <w:r>
        <w:t>Bảng 3.6.4. Phân tích giá trị gia tăng</w:t>
      </w:r>
    </w:p>
    <w:p>
      <w:pPr>
        <w:pStyle w:val="Heading3"/>
      </w:pPr>
      <w:r>
        <w:t>3.6.4.2. Phân tích lãng phí</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1500"/>
        <w:gridCol w:w="2800"/>
        <w:gridCol w:w="2350"/>
        <w:gridCol w:w="2410"/>
      </w:tblGrid>
      <w:tr>
        <w:trPr>
          <w:tblHeader w:val="true"/>
        </w:trPr>
        <w:tc>
          <w:tcPr>
            <w:tcW w:type="dxa" w:w="15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Loại lãng phí</w:t>
            </w:r>
          </w:p>
        </w:tc>
        <w:tc>
          <w:tcPr>
            <w:tcW w:type="dxa" w:w="28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Biểu hiện</w:t>
            </w:r>
          </w:p>
        </w:tc>
        <w:tc>
          <w:tcPr>
            <w:tcW w:type="dxa" w:w="23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Tác động</w:t>
            </w:r>
          </w:p>
        </w:tc>
        <w:tc>
          <w:tcPr>
            <w:tcW w:type="dxa" w:w="241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Gợi ý cải tiến</w:t>
            </w:r>
          </w:p>
        </w:tc>
      </w:tr>
      <w:tr>
        <w:tc>
          <w:tcPr>
            <w:tcW w:type="dxa" w:w="15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Move</w:t>
            </w:r>
          </w:p>
        </w:tc>
        <w:tc>
          <w:tcPr>
            <w:tcW w:type="dxa" w:w="2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Hoàn hàng về điểm tập kết; bàn giao kiện qua nhiều điểm.</w:t>
            </w:r>
          </w:p>
        </w:tc>
        <w:tc>
          <w:tcPr>
            <w:tcW w:type="dxa" w:w="23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Tăng quãng đường, thời gian và nguy cơ hư hỏng.</w:t>
            </w:r>
          </w:p>
        </w:tc>
        <w:tc>
          <w:tcPr>
            <w:tcW w:type="dxa" w:w="24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Tối ưu tuyến; gom điểm hoàn; giảm số lần bàn giao.</w:t>
            </w:r>
          </w:p>
        </w:tc>
      </w:tr>
      <w:tr>
        <w:tc>
          <w:tcPr>
            <w:tcW w:type="dxa" w:w="15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Hold - Waiting</w:t>
            </w:r>
          </w:p>
        </w:tc>
        <w:tc>
          <w:tcPr>
            <w:tcW w:type="dxa" w:w="2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Chờ điều phối, chờ khách phản hồi, chờ đến lịch giao lại.</w:t>
            </w:r>
          </w:p>
        </w:tc>
        <w:tc>
          <w:tcPr>
            <w:tcW w:type="dxa" w:w="23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Kéo dài cycle time và làm giảm năng suất giao.</w:t>
            </w:r>
          </w:p>
        </w:tc>
        <w:tc>
          <w:tcPr>
            <w:tcW w:type="dxa" w:w="24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ETA động, xác nhận hai chiều, hẹn giờ tự phục vụ.</w:t>
            </w:r>
          </w:p>
        </w:tc>
      </w:tr>
      <w:tr>
        <w:tc>
          <w:tcPr>
            <w:tcW w:type="dxa" w:w="15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Inventory</w:t>
            </w:r>
          </w:p>
        </w:tc>
        <w:tc>
          <w:tcPr>
            <w:tcW w:type="dxa" w:w="2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Kiện giao thất bại nằm chờ tại điểm tập kết.</w:t>
            </w:r>
          </w:p>
        </w:tc>
        <w:tc>
          <w:tcPr>
            <w:tcW w:type="dxa" w:w="23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Tăng tồn đọng và nhu cầu diện tích kiểm soát.</w:t>
            </w:r>
          </w:p>
        </w:tc>
        <w:tc>
          <w:tcPr>
            <w:tcW w:type="dxa" w:w="24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SLA xử lý hoàn; cảnh báo kiện quá hạn.</w:t>
            </w:r>
          </w:p>
        </w:tc>
      </w:tr>
      <w:tr>
        <w:tc>
          <w:tcPr>
            <w:tcW w:type="dxa" w:w="15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Defects</w:t>
            </w:r>
          </w:p>
        </w:tc>
        <w:tc>
          <w:tcPr>
            <w:tcW w:type="dxa" w:w="2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Sai địa chỉ, sai kiện, kiện hư hỏng, POD thiếu.</w:t>
            </w:r>
          </w:p>
        </w:tc>
        <w:tc>
          <w:tcPr>
            <w:tcW w:type="dxa" w:w="23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Làm lại, khiếu nại, bồi thường và mất uy tín.</w:t>
            </w:r>
          </w:p>
        </w:tc>
        <w:tc>
          <w:tcPr>
            <w:tcW w:type="dxa" w:w="24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Xác thực địa chỉ; quét mã; ePOD bắt buộc.</w:t>
            </w:r>
          </w:p>
        </w:tc>
      </w:tr>
      <w:tr>
        <w:tc>
          <w:tcPr>
            <w:tcW w:type="dxa" w:w="15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Over-processing</w:t>
            </w:r>
          </w:p>
        </w:tc>
        <w:tc>
          <w:tcPr>
            <w:tcW w:type="dxa" w:w="2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Gọi xác nhận lặp lại; nhập trạng thái trên nhiều hệ thống.</w:t>
            </w:r>
          </w:p>
        </w:tc>
        <w:tc>
          <w:tcPr>
            <w:tcW w:type="dxa" w:w="23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Tốn nhân lực, dễ lệch dữ liệu.</w:t>
            </w:r>
          </w:p>
        </w:tc>
        <w:tc>
          <w:tcPr>
            <w:tcW w:type="dxa" w:w="24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Tích hợp OMS-TMS-app; cập nhật sự kiện một lần.</w:t>
            </w:r>
          </w:p>
        </w:tc>
      </w:tr>
      <w:tr>
        <w:tc>
          <w:tcPr>
            <w:tcW w:type="dxa" w:w="15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Over-production</w:t>
            </w:r>
          </w:p>
        </w:tc>
        <w:tc>
          <w:tcPr>
            <w:tcW w:type="dxa" w:w="2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In phiếu hoặc biên bản giấy dù đã có bản điện tử.</w:t>
            </w:r>
          </w:p>
        </w:tc>
        <w:tc>
          <w:tcPr>
            <w:tcW w:type="dxa" w:w="23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Tốn giấy và công lưu trữ.</w:t>
            </w:r>
          </w:p>
        </w:tc>
        <w:tc>
          <w:tcPr>
            <w:tcW w:type="dxa" w:w="24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Chuyển sang vận đơn và POD điện tử.</w:t>
            </w:r>
          </w:p>
        </w:tc>
      </w:tr>
      <w:tr>
        <w:tc>
          <w:tcPr>
            <w:tcW w:type="dxa" w:w="15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7"/>
              </w:rPr>
              <w:t>Human potential</w:t>
            </w:r>
          </w:p>
        </w:tc>
        <w:tc>
          <w:tcPr>
            <w:tcW w:type="dxa" w:w="2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Nhân viên xử lý ngoại lệ và ghi chú bằng thao tác thủ công.</w:t>
            </w:r>
          </w:p>
        </w:tc>
        <w:tc>
          <w:tcPr>
            <w:tcW w:type="dxa" w:w="23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Giảm thời gian dành cho các tình huống có giá trị cao.</w:t>
            </w:r>
          </w:p>
        </w:tc>
        <w:tc>
          <w:tcPr>
            <w:tcW w:type="dxa" w:w="24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7"/>
              </w:rPr>
              <w:t>Mã lý do chuẩn, workflow ngoại lệ và gợi ý xử lý.</w:t>
            </w:r>
          </w:p>
        </w:tc>
      </w:tr>
    </w:tbl>
    <w:p>
      <w:pPr>
        <w:pStyle w:val="Caption"/>
      </w:pPr>
      <w:r>
        <w:t>Bảng 3.6.5. Phân tích lãng phí trong quy trình</w:t>
      </w:r>
    </w:p>
    <w:p>
      <w:pPr>
        <w:pStyle w:val="Heading3"/>
      </w:pPr>
      <w:r>
        <w:t>3.6.4.3. Phân tích các bên liên quan</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1700"/>
        <w:gridCol w:w="3500"/>
        <w:gridCol w:w="1450"/>
        <w:gridCol w:w="2410"/>
      </w:tblGrid>
      <w:tr>
        <w:trPr>
          <w:tblHeader w:val="true"/>
        </w:trPr>
        <w:tc>
          <w:tcPr>
            <w:tcW w:type="dxa" w:w="17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Bên liên quan</w:t>
            </w:r>
          </w:p>
        </w:tc>
        <w:tc>
          <w:tcPr>
            <w:tcW w:type="dxa" w:w="35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Mối quan tâm</w:t>
            </w:r>
          </w:p>
        </w:tc>
        <w:tc>
          <w:tcPr>
            <w:tcW w:type="dxa" w:w="14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Mức ảnh hưởng</w:t>
            </w:r>
          </w:p>
        </w:tc>
        <w:tc>
          <w:tcPr>
            <w:tcW w:type="dxa" w:w="241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Chỉ số theo dõi</w:t>
            </w:r>
          </w:p>
        </w:tc>
      </w:tr>
      <w:tr>
        <w:tc>
          <w:tcPr>
            <w:tcW w:type="dxa" w:w="17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Khách hàng</w:t>
            </w:r>
          </w:p>
        </w:tc>
        <w:tc>
          <w:tcPr>
            <w:tcW w:type="dxa" w:w="35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Đúng hẹn, nguyên vẹn, minh bạch, ít cuộc gọi.</w:t>
            </w:r>
          </w:p>
        </w:tc>
        <w:tc>
          <w:tcPr>
            <w:tcW w:type="dxa" w:w="14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Cao</w:t>
            </w:r>
          </w:p>
        </w:tc>
        <w:tc>
          <w:tcPr>
            <w:tcW w:type="dxa" w:w="24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CSAT, giao đúng hẹn, tỷ lệ giao lần đầu.</w:t>
            </w:r>
          </w:p>
        </w:tc>
      </w:tr>
      <w:tr>
        <w:tc>
          <w:tcPr>
            <w:tcW w:type="dxa" w:w="17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Nhân viên giao hàng</w:t>
            </w:r>
          </w:p>
        </w:tc>
        <w:tc>
          <w:tcPr>
            <w:tcW w:type="dxa" w:w="35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Tuyến hợp lý, thông tin chính xác, app ổn định.</w:t>
            </w:r>
          </w:p>
        </w:tc>
        <w:tc>
          <w:tcPr>
            <w:tcW w:type="dxa" w:w="14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Cao</w:t>
            </w:r>
          </w:p>
        </w:tc>
        <w:tc>
          <w:tcPr>
            <w:tcW w:type="dxa" w:w="24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Đơn/ca, thời gian dừng, tỷ lệ ngoại lệ.</w:t>
            </w:r>
          </w:p>
        </w:tc>
      </w:tr>
      <w:tr>
        <w:tc>
          <w:tcPr>
            <w:tcW w:type="dxa" w:w="17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Điều phối</w:t>
            </w:r>
          </w:p>
        </w:tc>
        <w:tc>
          <w:tcPr>
            <w:tcW w:type="dxa" w:w="35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Nhìn thấy tải công việc và ngoại lệ theo thời gian thực.</w:t>
            </w:r>
          </w:p>
        </w:tc>
        <w:tc>
          <w:tcPr>
            <w:tcW w:type="dxa" w:w="14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Cao</w:t>
            </w:r>
          </w:p>
        </w:tc>
        <w:tc>
          <w:tcPr>
            <w:tcW w:type="dxa" w:w="24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Tỷ lệ tái điều phối, backlog, SLA ngoại lệ.</w:t>
            </w:r>
          </w:p>
        </w:tc>
      </w:tr>
      <w:tr>
        <w:tc>
          <w:tcPr>
            <w:tcW w:type="dxa" w:w="17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OMS/CSKH</w:t>
            </w:r>
          </w:p>
        </w:tc>
        <w:tc>
          <w:tcPr>
            <w:tcW w:type="dxa" w:w="35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Trạng thái đồng bộ và lịch sử liên hệ đầy đủ.</w:t>
            </w:r>
          </w:p>
        </w:tc>
        <w:tc>
          <w:tcPr>
            <w:tcW w:type="dxa" w:w="14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Trung bình-cao</w:t>
            </w:r>
          </w:p>
        </w:tc>
        <w:tc>
          <w:tcPr>
            <w:tcW w:type="dxa" w:w="24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Tỷ lệ cuộc gọi hỏi trạng thái, thời gian xử lý.</w:t>
            </w:r>
          </w:p>
        </w:tc>
      </w:tr>
      <w:tr>
        <w:tc>
          <w:tcPr>
            <w:tcW w:type="dxa" w:w="17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Kho/điểm tập kết</w:t>
            </w:r>
          </w:p>
        </w:tc>
        <w:tc>
          <w:tcPr>
            <w:tcW w:type="dxa" w:w="35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Bàn giao và hoàn hàng có kiểm soát.</w:t>
            </w:r>
          </w:p>
        </w:tc>
        <w:tc>
          <w:tcPr>
            <w:tcW w:type="dxa" w:w="14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Trung bình</w:t>
            </w:r>
          </w:p>
        </w:tc>
        <w:tc>
          <w:tcPr>
            <w:tcW w:type="dxa" w:w="241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Sai lệch kiện, tuổi tồn kiện hoàn.</w:t>
            </w:r>
          </w:p>
        </w:tc>
      </w:tr>
      <w:tr>
        <w:tc>
          <w:tcPr>
            <w:tcW w:type="dxa" w:w="17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Tài chính</w:t>
            </w:r>
          </w:p>
        </w:tc>
        <w:tc>
          <w:tcPr>
            <w:tcW w:type="dxa" w:w="35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COD được thu đúng và đối soát nhanh.</w:t>
            </w:r>
          </w:p>
        </w:tc>
        <w:tc>
          <w:tcPr>
            <w:tcW w:type="dxa" w:w="14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Cao</w:t>
            </w:r>
          </w:p>
        </w:tc>
        <w:tc>
          <w:tcPr>
            <w:tcW w:type="dxa" w:w="241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Chênh lệch COD, thời gian nộp/đối soát.</w:t>
            </w:r>
          </w:p>
        </w:tc>
      </w:tr>
    </w:tbl>
    <w:p>
      <w:pPr>
        <w:pStyle w:val="Caption"/>
      </w:pPr>
      <w:r>
        <w:t>Bảng 3.6.6. Ma trận các bên liên quan</w:t>
      </w:r>
    </w:p>
    <w:p>
      <w:pPr>
        <w:pStyle w:val="Heading3"/>
      </w:pPr>
      <w:r>
        <w:t>3.6.4.4. Issue register - đăng ký vấn đề</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800"/>
        <w:gridCol w:w="1850"/>
        <w:gridCol w:w="1750"/>
        <w:gridCol w:w="1900"/>
        <w:gridCol w:w="2050"/>
        <w:gridCol w:w="710"/>
      </w:tblGrid>
      <w:tr>
        <w:trPr>
          <w:tblHeader w:val="true"/>
        </w:trPr>
        <w:tc>
          <w:tcPr>
            <w:tcW w:type="dxa" w:w="8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6"/>
              </w:rPr>
              <w:t>ID</w:t>
            </w:r>
          </w:p>
        </w:tc>
        <w:tc>
          <w:tcPr>
            <w:tcW w:type="dxa" w:w="18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6"/>
              </w:rPr>
              <w:t>Tên vấn đề</w:t>
            </w:r>
          </w:p>
        </w:tc>
        <w:tc>
          <w:tcPr>
            <w:tcW w:type="dxa" w:w="17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6"/>
              </w:rPr>
              <w:t>Giả định</w:t>
            </w:r>
          </w:p>
        </w:tc>
        <w:tc>
          <w:tcPr>
            <w:tcW w:type="dxa" w:w="19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6"/>
              </w:rPr>
              <w:t>Tác động</w:t>
            </w:r>
          </w:p>
        </w:tc>
        <w:tc>
          <w:tcPr>
            <w:tcW w:type="dxa" w:w="20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6"/>
              </w:rPr>
              <w:t>Hành động khả thi</w:t>
            </w:r>
          </w:p>
        </w:tc>
        <w:tc>
          <w:tcPr>
            <w:tcW w:type="dxa" w:w="71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6"/>
              </w:rPr>
              <w:t>Ưu tiên</w:t>
            </w:r>
          </w:p>
        </w:tc>
      </w:tr>
      <w:tr>
        <w:tc>
          <w:tcPr>
            <w:tcW w:type="dxa" w:w="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6"/>
              </w:rPr>
              <w:t>ISS-01</w:t>
            </w:r>
          </w:p>
        </w:tc>
        <w:tc>
          <w:tcPr>
            <w:tcW w:type="dxa" w:w="1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Thông tin nhận hàng sai/thiếu</w:t>
            </w:r>
          </w:p>
        </w:tc>
        <w:tc>
          <w:tcPr>
            <w:tcW w:type="dxa" w:w="17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8% đơn cần cập nhật trước khi giao.</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Chậm phân tuyến, giao sai địa chỉ.</w:t>
            </w:r>
          </w:p>
        </w:tc>
        <w:tc>
          <w:tcPr>
            <w:tcW w:type="dxa" w:w="20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Xác thực địa chỉ và số điện thoại tại checkout.</w:t>
            </w:r>
          </w:p>
        </w:tc>
        <w:tc>
          <w:tcPr>
            <w:tcW w:type="dxa" w:w="71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Cao</w:t>
            </w:r>
          </w:p>
        </w:tc>
      </w:tr>
      <w:tr>
        <w:tc>
          <w:tcPr>
            <w:tcW w:type="dxa" w:w="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6"/>
              </w:rPr>
              <w:t>ISS-02</w:t>
            </w:r>
          </w:p>
        </w:tc>
        <w:tc>
          <w:tcPr>
            <w:tcW w:type="dxa" w:w="1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Không liên hệ được khách</w:t>
            </w:r>
          </w:p>
        </w:tc>
        <w:tc>
          <w:tcPr>
            <w:tcW w:type="dxa" w:w="17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12% lần liên hệ đầu thất bại.</w:t>
            </w:r>
          </w:p>
        </w:tc>
        <w:tc>
          <w:tcPr>
            <w:tcW w:type="dxa" w:w="19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Tăng thời gian chờ và số lần giao.</w:t>
            </w:r>
          </w:p>
        </w:tc>
        <w:tc>
          <w:tcPr>
            <w:tcW w:type="dxa" w:w="20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ETA động, liên kết xác nhận hai chiều.</w:t>
            </w:r>
          </w:p>
        </w:tc>
        <w:tc>
          <w:tcPr>
            <w:tcW w:type="dxa" w:w="71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Rất cao</w:t>
            </w:r>
          </w:p>
        </w:tc>
      </w:tr>
      <w:tr>
        <w:tc>
          <w:tcPr>
            <w:tcW w:type="dxa" w:w="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6"/>
              </w:rPr>
              <w:t>ISS-03</w:t>
            </w:r>
          </w:p>
        </w:tc>
        <w:tc>
          <w:tcPr>
            <w:tcW w:type="dxa" w:w="1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Trạng thái phân mảnh</w:t>
            </w:r>
          </w:p>
        </w:tc>
        <w:tc>
          <w:tcPr>
            <w:tcW w:type="dxa" w:w="17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OMS, TMS và app cập nhật không đồng thời.</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Khách hỏi trạng thái; CSKH tra cứu thủ công.</w:t>
            </w:r>
          </w:p>
        </w:tc>
        <w:tc>
          <w:tcPr>
            <w:tcW w:type="dxa" w:w="20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Tích hợp theo sự kiện và một nguồn trạng thái.</w:t>
            </w:r>
          </w:p>
        </w:tc>
        <w:tc>
          <w:tcPr>
            <w:tcW w:type="dxa" w:w="71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Cao</w:t>
            </w:r>
          </w:p>
        </w:tc>
      </w:tr>
      <w:tr>
        <w:tc>
          <w:tcPr>
            <w:tcW w:type="dxa" w:w="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6"/>
              </w:rPr>
              <w:t>ISS-04</w:t>
            </w:r>
          </w:p>
        </w:tc>
        <w:tc>
          <w:tcPr>
            <w:tcW w:type="dxa" w:w="1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Khách từ chối nhận</w:t>
            </w:r>
          </w:p>
        </w:tc>
        <w:tc>
          <w:tcPr>
            <w:tcW w:type="dxa" w:w="17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8% đơn đến được khách bị từ chối.</w:t>
            </w:r>
          </w:p>
        </w:tc>
        <w:tc>
          <w:tcPr>
            <w:tcW w:type="dxa" w:w="19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Phát sinh hoàn hàng và nguy cơ mất doanh thu.</w:t>
            </w:r>
          </w:p>
        </w:tc>
        <w:tc>
          <w:tcPr>
            <w:tcW w:type="dxa" w:w="20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Ảnh kiện trước giao; mô tả lý do chuẩn; kiểm soát SLA.</w:t>
            </w:r>
          </w:p>
        </w:tc>
        <w:tc>
          <w:tcPr>
            <w:tcW w:type="dxa" w:w="71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Cao</w:t>
            </w:r>
          </w:p>
        </w:tc>
      </w:tr>
      <w:tr>
        <w:tc>
          <w:tcPr>
            <w:tcW w:type="dxa" w:w="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6"/>
              </w:rPr>
              <w:t>ISS-05</w:t>
            </w:r>
          </w:p>
        </w:tc>
        <w:tc>
          <w:tcPr>
            <w:tcW w:type="dxa" w:w="1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Thanh toán COD thất bại</w:t>
            </w:r>
          </w:p>
        </w:tc>
        <w:tc>
          <w:tcPr>
            <w:tcW w:type="dxa" w:w="17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3% giao dịch COD không hoàn tất.</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Giao thất bại dù hàng đã đến nơi.</w:t>
            </w:r>
          </w:p>
        </w:tc>
        <w:tc>
          <w:tcPr>
            <w:tcW w:type="dxa" w:w="20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QR động, nhiều phương thức thanh toán dự phòng.</w:t>
            </w:r>
          </w:p>
        </w:tc>
        <w:tc>
          <w:tcPr>
            <w:tcW w:type="dxa" w:w="71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Trung bình</w:t>
            </w:r>
          </w:p>
        </w:tc>
      </w:tr>
      <w:tr>
        <w:tc>
          <w:tcPr>
            <w:tcW w:type="dxa" w:w="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6"/>
              </w:rPr>
              <w:t>ISS-06</w:t>
            </w:r>
          </w:p>
        </w:tc>
        <w:tc>
          <w:tcPr>
            <w:tcW w:type="dxa" w:w="1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POD không đầy đủ</w:t>
            </w:r>
          </w:p>
        </w:tc>
        <w:tc>
          <w:tcPr>
            <w:tcW w:type="dxa" w:w="17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Giả định 2% hồ sơ thiếu OTP/ảnh/chữ ký.</w:t>
            </w:r>
          </w:p>
        </w:tc>
        <w:tc>
          <w:tcPr>
            <w:tcW w:type="dxa" w:w="19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Khó đối soát và xử lý khiếu nại.</w:t>
            </w:r>
          </w:p>
        </w:tc>
        <w:tc>
          <w:tcPr>
            <w:tcW w:type="dxa" w:w="20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ePOD bắt buộc và kiểm tra trước khi đóng đơn.</w:t>
            </w:r>
          </w:p>
        </w:tc>
        <w:tc>
          <w:tcPr>
            <w:tcW w:type="dxa" w:w="71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6"/>
              </w:rPr>
              <w:t>Cao</w:t>
            </w:r>
          </w:p>
        </w:tc>
      </w:tr>
    </w:tbl>
    <w:p>
      <w:pPr>
        <w:pStyle w:val="Caption"/>
      </w:pPr>
      <w:r>
        <w:t>Bảng 3.6.7. Đăng ký vấn đề của quy trình</w:t>
      </w:r>
    </w:p>
    <w:p>
      <w:r>
        <w:br w:type="page"/>
      </w:r>
    </w:p>
    <w:p>
      <w:pPr>
        <w:pStyle w:val="Heading3"/>
      </w:pPr>
      <w:r>
        <w:t>3.6.4.5. Phân tích nguyên nhân gốc - Why-Why</w:t>
      </w:r>
    </w:p>
    <w:tbl>
      <w:tblPr>
        <w:tblW w:type="dxa" w:w="9060"/>
        <w:jc w:val="center"/>
        <w:tblLayout w:type="fixed"/>
        <w:tblLook w:firstColumn="1" w:firstRow="1" w:lastColumn="0" w:lastRow="0" w:noHBand="0" w:noVBand="1" w:val="04A0"/>
        <w:tblInd w:w="0" w:type="dxa"/>
        <w:tblBorders>
          <w:top w:val="single" w:sz="7" w:color="9FBAD0"/>
          <w:left w:val="single" w:sz="7" w:color="9FBAD0"/>
          <w:bottom w:val="single" w:sz="7" w:color="9FBAD0"/>
          <w:right w:val="single" w:sz="7" w:color="9FBAD0"/>
          <w:insideH w:val="single" w:sz="7" w:color="9FBAD0"/>
          <w:insideV w:val="single" w:sz="7" w:color="9FBAD0"/>
        </w:tblBorders>
      </w:tblPr>
      <w:tblGrid>
        <w:gridCol w:w="9060"/>
      </w:tblGrid>
      <w:tr>
        <w:tc>
          <w:tcPr>
            <w:tcW w:type="dxa" w:w="9060"/>
            <w:shd w:fill="FCE4D6"/>
            <w:tcMar>
              <w:top w:w="140" w:type="dxa"/>
              <w:start w:w="160" w:type="dxa"/>
              <w:bottom w:w="140" w:type="dxa"/>
              <w:end w:w="160" w:type="dxa"/>
            </w:tcMar>
          </w:tcPr>
          <w:p>
            <w:pPr>
              <w:spacing w:before="0" w:after="0" w:line="283" w:lineRule="auto"/>
            </w:pPr>
            <w:r>
              <w:rPr>
                <w:rFonts w:ascii="Times New Roman" w:hAnsi="Times New Roman" w:eastAsia="Times New Roman"/>
                <w:b/>
                <w:color w:val="9C0006"/>
                <w:sz w:val="21"/>
              </w:rPr>
              <w:t xml:space="preserve">Vấn đề ưu tiên: </w:t>
            </w:r>
            <w:r>
              <w:rPr>
                <w:rFonts w:ascii="Times New Roman" w:hAnsi="Times New Roman" w:eastAsia="Times New Roman"/>
                <w:sz w:val="21"/>
              </w:rPr>
              <w:t>Không liên hệ được khách hàng khi nhân viên đã bắt đầu giao, dẫn đến chờ đợi, giao lại hoặc hoàn hàng.</w:t>
            </w:r>
          </w:p>
        </w:tc>
      </w:tr>
    </w:tbl>
    <w:p>
      <w:pPr>
        <w:spacing w:after="20"/>
      </w:pP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1600"/>
        <w:gridCol w:w="7460"/>
      </w:tblGrid>
      <w:tr>
        <w:trPr>
          <w:tblHeader w:val="true"/>
        </w:trPr>
        <w:tc>
          <w:tcPr>
            <w:tcW w:type="dxa" w:w="16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Cấp độ</w:t>
            </w:r>
          </w:p>
        </w:tc>
        <w:tc>
          <w:tcPr>
            <w:tcW w:type="dxa" w:w="746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Kết quả phân tích</w:t>
            </w:r>
          </w:p>
        </w:tc>
      </w:tr>
      <w:tr>
        <w:tc>
          <w:tcPr>
            <w:tcW w:type="dxa" w:w="16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Tại sao 1</w:t>
            </w:r>
          </w:p>
        </w:tc>
        <w:tc>
          <w:tcPr>
            <w:tcW w:type="dxa" w:w="74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Khách không có mặt hoặc không nghe máy tại thời điểm giao.</w:t>
            </w:r>
          </w:p>
        </w:tc>
      </w:tr>
      <w:tr>
        <w:tc>
          <w:tcPr>
            <w:tcW w:type="dxa" w:w="16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Tại sao 2</w:t>
            </w:r>
          </w:p>
        </w:tc>
        <w:tc>
          <w:tcPr>
            <w:tcW w:type="dxa" w:w="74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Khách không biết chính xác thời gian nhân viên sẽ đến.</w:t>
            </w:r>
          </w:p>
        </w:tc>
      </w:tr>
      <w:tr>
        <w:tc>
          <w:tcPr>
            <w:tcW w:type="dxa" w:w="16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Tại sao 3</w:t>
            </w:r>
          </w:p>
        </w:tc>
        <w:tc>
          <w:tcPr>
            <w:tcW w:type="dxa" w:w="74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Thông báo chỉ đưa ra khung thời gian rộng và không cập nhật khi tuyến thay đổi.</w:t>
            </w:r>
          </w:p>
        </w:tc>
      </w:tr>
      <w:tr>
        <w:tc>
          <w:tcPr>
            <w:tcW w:type="dxa" w:w="16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Tại sao 4</w:t>
            </w:r>
          </w:p>
        </w:tc>
        <w:tc>
          <w:tcPr>
            <w:tcW w:type="dxa" w:w="74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Dữ liệu tuyến thực tế trong ứng dụng giao hàng không đồng bộ tức thời với kênh thông báo khách hàng.</w:t>
            </w:r>
          </w:p>
        </w:tc>
      </w:tr>
      <w:tr>
        <w:tc>
          <w:tcPr>
            <w:tcW w:type="dxa" w:w="16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Tại sao 5</w:t>
            </w:r>
          </w:p>
        </w:tc>
        <w:tc>
          <w:tcPr>
            <w:tcW w:type="dxa" w:w="74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OMS, TMS và ứng dụng giao hàng chưa dùng chung cơ chế sự kiện và nguồn trạng thái chuẩn.</w:t>
            </w:r>
          </w:p>
        </w:tc>
      </w:tr>
      <w:tr>
        <w:tc>
          <w:tcPr>
            <w:tcW w:type="dxa" w:w="16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Nguyên nhân gốc</w:t>
            </w:r>
          </w:p>
        </w:tc>
        <w:tc>
          <w:tcPr>
            <w:tcW w:type="dxa" w:w="74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Hệ thống rời rạc và thiếu cơ chế xác nhận lịch giao hai chiều theo thời gian thực.</w:t>
            </w:r>
          </w:p>
        </w:tc>
      </w:tr>
    </w:tbl>
    <w:p>
      <w:pPr>
        <w:pStyle w:val="Caption"/>
      </w:pPr>
      <w:r>
        <w:t>Bảng 3.6.8. Phân tích Why-Why cho vấn đề không liên hệ được khách</w:t>
      </w:r>
    </w:p>
    <w:p>
      <w:pPr>
        <w:pStyle w:val="Heading2"/>
      </w:pPr>
      <w:r>
        <w:t>3.6.5. Phân tích định lượng</w:t>
      </w:r>
    </w:p>
    <w:tbl>
      <w:tblPr>
        <w:tblW w:type="dxa" w:w="9060"/>
        <w:jc w:val="center"/>
        <w:tblLayout w:type="fixed"/>
        <w:tblLook w:firstColumn="1" w:firstRow="1" w:lastColumn="0" w:lastRow="0" w:noHBand="0" w:noVBand="1" w:val="04A0"/>
        <w:tblInd w:w="0" w:type="dxa"/>
        <w:tblBorders>
          <w:top w:val="single" w:sz="7" w:color="9FBAD0"/>
          <w:left w:val="single" w:sz="7" w:color="9FBAD0"/>
          <w:bottom w:val="single" w:sz="7" w:color="9FBAD0"/>
          <w:right w:val="single" w:sz="7" w:color="9FBAD0"/>
          <w:insideH w:val="single" w:sz="7" w:color="9FBAD0"/>
          <w:insideV w:val="single" w:sz="7" w:color="9FBAD0"/>
        </w:tblBorders>
      </w:tblPr>
      <w:tblGrid>
        <w:gridCol w:w="9060"/>
      </w:tblGrid>
      <w:tr>
        <w:tc>
          <w:tcPr>
            <w:tcW w:type="dxa" w:w="9060"/>
            <w:shd w:fill="FFF2CC"/>
            <w:tcMar>
              <w:top w:w="140" w:type="dxa"/>
              <w:start w:w="160" w:type="dxa"/>
              <w:bottom w:w="140" w:type="dxa"/>
              <w:end w:w="160" w:type="dxa"/>
            </w:tcMar>
          </w:tcPr>
          <w:p>
            <w:pPr>
              <w:spacing w:before="0" w:after="0" w:line="283" w:lineRule="auto"/>
            </w:pPr>
            <w:r>
              <w:rPr>
                <w:rFonts w:ascii="Times New Roman" w:hAnsi="Times New Roman" w:eastAsia="Times New Roman"/>
                <w:b/>
                <w:color w:val="806000"/>
                <w:sz w:val="21"/>
              </w:rPr>
              <w:t xml:space="preserve">Cảnh báo: </w:t>
            </w:r>
            <w:r>
              <w:rPr>
                <w:rFonts w:ascii="Times New Roman" w:hAnsi="Times New Roman" w:eastAsia="Times New Roman"/>
                <w:sz w:val="21"/>
              </w:rPr>
              <w:t>Các số liệu dưới đây là một kịch bản cơ sở để thể hiện cách tính giống bài mẫu. Không trình bày chúng như số liệu vận hành thật nếu chưa được xác nhận bằng dữ liệu của doanh nghiệp.</w:t>
            </w:r>
          </w:p>
        </w:tc>
      </w:tr>
    </w:tbl>
    <w:p>
      <w:pPr>
        <w:spacing w:after="20"/>
      </w:pPr>
    </w:p>
    <w:p>
      <w:pPr>
        <w:pStyle w:val="Heading3"/>
      </w:pPr>
      <w:r>
        <w:t>3.6.5.1. Giả định đầu vào</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3100"/>
        <w:gridCol w:w="1700"/>
        <w:gridCol w:w="4260"/>
      </w:tblGrid>
      <w:tr>
        <w:trPr>
          <w:tblHeader w:val="true"/>
        </w:trPr>
        <w:tc>
          <w:tcPr>
            <w:tcW w:type="dxa" w:w="31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Thông số</w:t>
            </w:r>
          </w:p>
        </w:tc>
        <w:tc>
          <w:tcPr>
            <w:tcW w:type="dxa" w:w="17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Giá trị</w:t>
            </w:r>
          </w:p>
        </w:tc>
        <w:tc>
          <w:tcPr>
            <w:tcW w:type="dxa" w:w="426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Diễn giải</w:t>
            </w:r>
          </w:p>
        </w:tc>
      </w:tr>
      <w:tr>
        <w:tc>
          <w:tcPr>
            <w:tcW w:type="dxa" w:w="31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Thông tin đơn sai/thiếu</w:t>
            </w:r>
          </w:p>
        </w:tc>
        <w:tc>
          <w:tcPr>
            <w:tcW w:type="dxa" w:w="17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8%</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Cần 4 phút xử lý và 10 phút chờ; sau đó kiểm tra lại.</w:t>
            </w:r>
          </w:p>
        </w:tc>
      </w:tr>
      <w:tr>
        <w:tc>
          <w:tcPr>
            <w:tcW w:type="dxa" w:w="31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Chờ phân công/tuyến</w:t>
            </w:r>
          </w:p>
        </w:tc>
        <w:tc>
          <w:tcPr>
            <w:tcW w:type="dxa" w:w="17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12 phút</w:t>
            </w:r>
          </w:p>
        </w:tc>
        <w:tc>
          <w:tcPr>
            <w:tcW w:type="dxa" w:w="42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Thời gian chờ trước khi nhân viên nhận việc.</w:t>
            </w:r>
          </w:p>
        </w:tc>
      </w:tr>
      <w:tr>
        <w:tc>
          <w:tcPr>
            <w:tcW w:type="dxa" w:w="31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Không liên hệ được lần đầu</w:t>
            </w:r>
          </w:p>
        </w:tc>
        <w:tc>
          <w:tcPr>
            <w:tcW w:type="dxa" w:w="17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12%</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Ghi nhận 2 phút; chờ giao lại 120 phút.</w:t>
            </w:r>
          </w:p>
        </w:tc>
      </w:tr>
      <w:tr>
        <w:tc>
          <w:tcPr>
            <w:tcW w:type="dxa" w:w="31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Liên hệ được ở lần giao lại</w:t>
            </w:r>
          </w:p>
        </w:tc>
        <w:tc>
          <w:tcPr>
            <w:tcW w:type="dxa" w:w="17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80%</w:t>
            </w:r>
          </w:p>
        </w:tc>
        <w:tc>
          <w:tcPr>
            <w:tcW w:type="dxa" w:w="42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20% số ca giao lại vẫn thất bại và phải hoàn.</w:t>
            </w:r>
          </w:p>
        </w:tc>
      </w:tr>
      <w:tr>
        <w:tc>
          <w:tcPr>
            <w:tcW w:type="dxa" w:w="31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Thời gian vận chuyển</w:t>
            </w:r>
          </w:p>
        </w:tc>
        <w:tc>
          <w:tcPr>
            <w:tcW w:type="dxa" w:w="17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35 phút</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Thời gian trung bình đến địa chỉ giao.</w:t>
            </w:r>
          </w:p>
        </w:tc>
      </w:tr>
      <w:tr>
        <w:tc>
          <w:tcPr>
            <w:tcW w:type="dxa" w:w="31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Khách kiểm tra kiện</w:t>
            </w:r>
          </w:p>
        </w:tc>
        <w:tc>
          <w:tcPr>
            <w:tcW w:type="dxa" w:w="17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4 phút</w:t>
            </w:r>
          </w:p>
        </w:tc>
        <w:tc>
          <w:tcPr>
            <w:tcW w:type="dxa" w:w="42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Thời gian khách xem bao bì/sản phẩm.</w:t>
            </w:r>
          </w:p>
        </w:tc>
      </w:tr>
      <w:tr>
        <w:tc>
          <w:tcPr>
            <w:tcW w:type="dxa" w:w="31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Tỷ lệ từ chối nhận</w:t>
            </w:r>
          </w:p>
        </w:tc>
        <w:tc>
          <w:tcPr>
            <w:tcW w:type="dxa" w:w="17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8%</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Trong các đơn đã đến được khách.</w:t>
            </w:r>
          </w:p>
        </w:tc>
      </w:tr>
      <w:tr>
        <w:tc>
          <w:tcPr>
            <w:tcW w:type="dxa" w:w="31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Tỷ lệ đơn COD</w:t>
            </w:r>
          </w:p>
        </w:tc>
        <w:tc>
          <w:tcPr>
            <w:tcW w:type="dxa" w:w="17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45%</w:t>
            </w:r>
          </w:p>
        </w:tc>
        <w:tc>
          <w:tcPr>
            <w:tcW w:type="dxa" w:w="42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Trong các đơn được khách chấp nhận.</w:t>
            </w:r>
          </w:p>
        </w:tc>
      </w:tr>
      <w:tr>
        <w:tc>
          <w:tcPr>
            <w:tcW w:type="dxa" w:w="31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Thanh toán COD thất bại</w:t>
            </w:r>
          </w:p>
        </w:tc>
        <w:tc>
          <w:tcPr>
            <w:tcW w:type="dxa" w:w="17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3%</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Trong các giao dịch COD.</w:t>
            </w:r>
          </w:p>
        </w:tc>
      </w:tr>
      <w:tr>
        <w:tc>
          <w:tcPr>
            <w:tcW w:type="dxa" w:w="31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Hoàn hàng</w:t>
            </w:r>
          </w:p>
        </w:tc>
        <w:tc>
          <w:tcPr>
            <w:tcW w:type="dxa" w:w="17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30 phút</w:t>
            </w:r>
          </w:p>
        </w:tc>
        <w:tc>
          <w:tcPr>
            <w:tcW w:type="dxa" w:w="42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Thời gian xử lý và di chuyển về điểm tập kết.</w:t>
            </w:r>
          </w:p>
        </w:tc>
      </w:tr>
      <w:tr>
        <w:tc>
          <w:tcPr>
            <w:tcW w:type="dxa" w:w="31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Đơn giá OMS/CSKH</w:t>
            </w:r>
          </w:p>
        </w:tc>
        <w:tc>
          <w:tcPr>
            <w:tcW w:type="dxa" w:w="17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50.000 VNĐ/giờ</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Chi phí nhân công minh họa.</w:t>
            </w:r>
          </w:p>
        </w:tc>
      </w:tr>
      <w:tr>
        <w:tc>
          <w:tcPr>
            <w:tcW w:type="dxa" w:w="31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Đơn giá điều phối</w:t>
            </w:r>
          </w:p>
        </w:tc>
        <w:tc>
          <w:tcPr>
            <w:tcW w:type="dxa" w:w="17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55.000 VNĐ/giờ</w:t>
            </w:r>
          </w:p>
        </w:tc>
        <w:tc>
          <w:tcPr>
            <w:tcW w:type="dxa" w:w="42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Chi phí nhân công minh họa.</w:t>
            </w:r>
          </w:p>
        </w:tc>
      </w:tr>
      <w:tr>
        <w:tc>
          <w:tcPr>
            <w:tcW w:type="dxa" w:w="31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Đơn giá nhân viên giao</w:t>
            </w:r>
          </w:p>
        </w:tc>
        <w:tc>
          <w:tcPr>
            <w:tcW w:type="dxa" w:w="17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45.000 VNĐ/giờ</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Chưa gồm nhiên liệu, khấu hao và phí đối tác.</w:t>
            </w:r>
          </w:p>
        </w:tc>
      </w:tr>
    </w:tbl>
    <w:p>
      <w:pPr>
        <w:pStyle w:val="Caption"/>
      </w:pPr>
      <w:r>
        <w:t>Bảng 3.6.9. Giả định cho kịch bản định lượng</w:t>
      </w:r>
    </w:p>
    <w:p>
      <w:pPr>
        <w:pStyle w:val="Heading3"/>
        <w:pageBreakBefore/>
        <w:spacing w:before="840"/>
      </w:pPr>
      <w:r>
        <w:t>3.6.5.2. Phân tích thời gian</w:t>
      </w:r>
    </w:p>
    <w:p>
      <w:pPr>
        <w:spacing w:before="0" w:after="120" w:line="307" w:lineRule="auto"/>
        <w:jc w:val="both"/>
      </w:pPr>
      <w:r>
        <w:rPr>
          <w:rFonts w:ascii="Times New Roman" w:hAnsi="Times New Roman" w:eastAsia="Times New Roman"/>
          <w:i w:val="0"/>
        </w:rPr>
        <w:t>Với tỷ lệ thông tin sai/thiếu r = 8%, thời gian kiểm tra và xử lý vòng lặp được tính theo công thức rework loop CT = T/(1-r), trong đó phần sửa thông tin gồm cả thời gian xử lý và thời gian chờ.</w:t>
      </w:r>
    </w:p>
    <w:tbl>
      <w:tblPr>
        <w:tblW w:type="dxa" w:w="8400"/>
        <w:jc w:val="center"/>
        <w:tblLayout w:type="fixed"/>
        <w:tblLook w:firstColumn="1" w:firstRow="1" w:lastColumn="0" w:lastRow="0" w:noHBand="0" w:noVBand="1" w:val="04A0"/>
        <w:tblInd w:w="0" w:type="dxa"/>
        <w:tblBorders>
          <w:top w:val="single" w:sz="10" w:color="2F75B5"/>
          <w:left w:val="single" w:sz="10" w:color="2F75B5"/>
          <w:bottom w:val="single" w:sz="10" w:color="2F75B5"/>
          <w:right w:val="single" w:sz="10" w:color="2F75B5"/>
          <w:insideH w:val="single" w:sz="10" w:color="2F75B5"/>
          <w:insideV w:val="single" w:sz="10" w:color="2F75B5"/>
        </w:tblBorders>
      </w:tblPr>
      <w:tblGrid>
        <w:gridCol w:w="8400"/>
      </w:tblGrid>
      <w:tr>
        <w:tc>
          <w:tcPr>
            <w:tcW w:type="dxa" w:w="8400"/>
            <w:shd w:fill="F3F7FB"/>
            <w:tcMar>
              <w:top w:w="120" w:type="dxa"/>
              <w:start w:w="110" w:type="dxa"/>
              <w:bottom w:w="120" w:type="dxa"/>
              <w:end w:w="110" w:type="dxa"/>
            </w:tcMar>
          </w:tcPr>
          <w:p>
            <w:pPr>
              <w:spacing w:before="0" w:after="0" w:line="259" w:lineRule="auto"/>
              <w:jc w:val="center"/>
            </w:pPr>
            <w:r>
              <w:rPr>
                <w:rFonts w:ascii="Times New Roman" w:hAnsi="Times New Roman" w:eastAsia="Times New Roman"/>
                <w:b/>
                <w:color w:val="17365D"/>
                <w:sz w:val="22"/>
              </w:rPr>
              <w:t>CT kiểm tra thông tin = [2 + 0,08 × (4 + 10)] / (1 - 0,08) = 3,39 phút</w:t>
            </w:r>
          </w:p>
        </w:tc>
      </w:tr>
    </w:tbl>
    <w:p>
      <w:pPr>
        <w:spacing w:after="20"/>
      </w:pPr>
    </w:p>
    <w:tbl>
      <w:tblPr>
        <w:tblW w:type="dxa" w:w="8400"/>
        <w:jc w:val="center"/>
        <w:tblLayout w:type="fixed"/>
        <w:tblLook w:firstColumn="1" w:firstRow="1" w:lastColumn="0" w:lastRow="0" w:noHBand="0" w:noVBand="1" w:val="04A0"/>
        <w:tblInd w:w="0" w:type="dxa"/>
        <w:tblBorders>
          <w:top w:val="single" w:sz="10" w:color="2F75B5"/>
          <w:left w:val="single" w:sz="10" w:color="2F75B5"/>
          <w:bottom w:val="single" w:sz="10" w:color="2F75B5"/>
          <w:right w:val="single" w:sz="10" w:color="2F75B5"/>
          <w:insideH w:val="single" w:sz="10" w:color="2F75B5"/>
          <w:insideV w:val="single" w:sz="10" w:color="2F75B5"/>
        </w:tblBorders>
      </w:tblPr>
      <w:tblGrid>
        <w:gridCol w:w="8400"/>
      </w:tblGrid>
      <w:tr>
        <w:tc>
          <w:tcPr>
            <w:tcW w:type="dxa" w:w="8400"/>
            <w:shd w:fill="F3F7FB"/>
            <w:tcMar>
              <w:top w:w="120" w:type="dxa"/>
              <w:start w:w="110" w:type="dxa"/>
              <w:bottom w:w="120" w:type="dxa"/>
              <w:end w:w="110" w:type="dxa"/>
            </w:tcMar>
          </w:tcPr>
          <w:p>
            <w:pPr>
              <w:spacing w:before="0" w:after="0" w:line="259" w:lineRule="auto"/>
              <w:jc w:val="center"/>
            </w:pPr>
            <w:r>
              <w:rPr>
                <w:rFonts w:ascii="Times New Roman" w:hAnsi="Times New Roman" w:eastAsia="Times New Roman"/>
                <w:b/>
                <w:color w:val="17365D"/>
                <w:sz w:val="22"/>
              </w:rPr>
              <w:t>PT kiểm tra thông tin = [2 + 0,08 × 4] / (1 - 0,08) = 2,52 phút</w:t>
            </w:r>
          </w:p>
        </w:tc>
      </w:tr>
    </w:tbl>
    <w:p>
      <w:pPr>
        <w:spacing w:after="20"/>
      </w:pPr>
    </w:p>
    <w:p>
      <w:pPr>
        <w:spacing w:before="0" w:after="120" w:line="307" w:lineRule="auto"/>
        <w:jc w:val="both"/>
      </w:pPr>
      <w:r>
        <w:rPr>
          <w:rFonts w:ascii="Times New Roman" w:hAnsi="Times New Roman" w:eastAsia="Times New Roman"/>
          <w:i w:val="0"/>
        </w:rPr>
        <w:t>Thời gian liên hệ bao gồm thông báo ban đầu, chờ khách phản hồi và kỳ vọng của một lần giao lại khi không liên hệ được:</w:t>
      </w:r>
    </w:p>
    <w:tbl>
      <w:tblPr>
        <w:tblW w:type="dxa" w:w="8400"/>
        <w:jc w:val="center"/>
        <w:tblLayout w:type="fixed"/>
        <w:tblLook w:firstColumn="1" w:firstRow="1" w:lastColumn="0" w:lastRow="0" w:noHBand="0" w:noVBand="1" w:val="04A0"/>
        <w:tblInd w:w="0" w:type="dxa"/>
        <w:tblBorders>
          <w:top w:val="single" w:sz="10" w:color="2F75B5"/>
          <w:left w:val="single" w:sz="10" w:color="2F75B5"/>
          <w:bottom w:val="single" w:sz="10" w:color="2F75B5"/>
          <w:right w:val="single" w:sz="10" w:color="2F75B5"/>
          <w:insideH w:val="single" w:sz="10" w:color="2F75B5"/>
          <w:insideV w:val="single" w:sz="10" w:color="2F75B5"/>
        </w:tblBorders>
      </w:tblPr>
      <w:tblGrid>
        <w:gridCol w:w="8400"/>
      </w:tblGrid>
      <w:tr>
        <w:tc>
          <w:tcPr>
            <w:tcW w:type="dxa" w:w="8400"/>
            <w:shd w:fill="F3F7FB"/>
            <w:tcMar>
              <w:top w:w="120" w:type="dxa"/>
              <w:start w:w="110" w:type="dxa"/>
              <w:bottom w:w="120" w:type="dxa"/>
              <w:end w:w="110" w:type="dxa"/>
            </w:tcMar>
          </w:tcPr>
          <w:p>
            <w:pPr>
              <w:spacing w:before="0" w:after="0" w:line="259" w:lineRule="auto"/>
              <w:jc w:val="center"/>
            </w:pPr>
            <w:r>
              <w:rPr>
                <w:rFonts w:ascii="Times New Roman" w:hAnsi="Times New Roman" w:eastAsia="Times New Roman"/>
                <w:b/>
                <w:color w:val="17365D"/>
                <w:sz w:val="22"/>
              </w:rPr>
              <w:t>CT liên hệ = 6 + 0,12 × [2 + 120 + 6 + 0,20 × (30 + 2)] = 22,13 phút</w:t>
            </w:r>
          </w:p>
        </w:tc>
      </w:tr>
    </w:tbl>
    <w:p>
      <w:pPr>
        <w:spacing w:after="20"/>
      </w:pPr>
    </w:p>
    <w:p>
      <w:pPr>
        <w:spacing w:before="0" w:after="120" w:line="307" w:lineRule="auto"/>
        <w:jc w:val="both"/>
      </w:pPr>
      <w:r>
        <w:rPr>
          <w:rFonts w:ascii="Times New Roman" w:hAnsi="Times New Roman" w:eastAsia="Times New Roman"/>
          <w:i w:val="0"/>
        </w:rPr>
        <w:t>Xác suất cuối cùng liên hệ được khách sau tối đa hai lượt là 1 - 0,12 × 0,20 = 97,60%. Thời gian kỳ vọng của nhánh giao tại địa chỉ, bao gồm vận chuyển, kiểm tra, chấp nhận/từ chối và COD, là 46,19 phút khi đã liên hệ được.</w:t>
      </w:r>
    </w:p>
    <w:tbl>
      <w:tblPr>
        <w:tblW w:type="dxa" w:w="8400"/>
        <w:jc w:val="center"/>
        <w:tblLayout w:type="fixed"/>
        <w:tblLook w:firstColumn="1" w:firstRow="1" w:lastColumn="0" w:lastRow="0" w:noHBand="0" w:noVBand="1" w:val="04A0"/>
        <w:tblInd w:w="0" w:type="dxa"/>
        <w:tblBorders>
          <w:top w:val="single" w:sz="10" w:color="2F75B5"/>
          <w:left w:val="single" w:sz="10" w:color="2F75B5"/>
          <w:bottom w:val="single" w:sz="10" w:color="2F75B5"/>
          <w:right w:val="single" w:sz="10" w:color="2F75B5"/>
          <w:insideH w:val="single" w:sz="10" w:color="2F75B5"/>
          <w:insideV w:val="single" w:sz="10" w:color="2F75B5"/>
        </w:tblBorders>
      </w:tblPr>
      <w:tblGrid>
        <w:gridCol w:w="8400"/>
      </w:tblGrid>
      <w:tr>
        <w:tc>
          <w:tcPr>
            <w:tcW w:type="dxa" w:w="8400"/>
            <w:shd w:fill="F3F7FB"/>
            <w:tcMar>
              <w:top w:w="120" w:type="dxa"/>
              <w:start w:w="110" w:type="dxa"/>
              <w:bottom w:w="120" w:type="dxa"/>
              <w:end w:w="110" w:type="dxa"/>
            </w:tcMar>
          </w:tcPr>
          <w:p>
            <w:pPr>
              <w:spacing w:before="0" w:after="0" w:line="259" w:lineRule="auto"/>
              <w:jc w:val="center"/>
            </w:pPr>
            <w:r>
              <w:rPr>
                <w:rFonts w:ascii="Times New Roman" w:hAnsi="Times New Roman" w:eastAsia="Times New Roman"/>
                <w:b/>
                <w:color w:val="17365D"/>
                <w:sz w:val="22"/>
              </w:rPr>
              <w:t>CT trung bình = 24,39 + 22,13 + 0,976 × 46,19 = 91,60 phút</w:t>
            </w:r>
          </w:p>
        </w:tc>
      </w:tr>
    </w:tbl>
    <w:p>
      <w:pPr>
        <w:spacing w:after="20"/>
      </w:pPr>
    </w:p>
    <w:tbl>
      <w:tblPr>
        <w:tblW w:type="dxa" w:w="8400"/>
        <w:jc w:val="center"/>
        <w:tblLayout w:type="fixed"/>
        <w:tblLook w:firstColumn="1" w:firstRow="1" w:lastColumn="0" w:lastRow="0" w:noHBand="0" w:noVBand="1" w:val="04A0"/>
        <w:tblInd w:w="0" w:type="dxa"/>
        <w:tblBorders>
          <w:top w:val="single" w:sz="10" w:color="2F75B5"/>
          <w:left w:val="single" w:sz="10" w:color="2F75B5"/>
          <w:bottom w:val="single" w:sz="10" w:color="2F75B5"/>
          <w:right w:val="single" w:sz="10" w:color="2F75B5"/>
          <w:insideH w:val="single" w:sz="10" w:color="2F75B5"/>
          <w:insideV w:val="single" w:sz="10" w:color="2F75B5"/>
        </w:tblBorders>
      </w:tblPr>
      <w:tblGrid>
        <w:gridCol w:w="8400"/>
      </w:tblGrid>
      <w:tr>
        <w:tc>
          <w:tcPr>
            <w:tcW w:type="dxa" w:w="8400"/>
            <w:shd w:fill="F3F7FB"/>
            <w:tcMar>
              <w:top w:w="120" w:type="dxa"/>
              <w:start w:w="110" w:type="dxa"/>
              <w:bottom w:w="120" w:type="dxa"/>
              <w:end w:w="110" w:type="dxa"/>
            </w:tcMar>
          </w:tcPr>
          <w:p>
            <w:pPr>
              <w:spacing w:before="0" w:after="0" w:line="259" w:lineRule="auto"/>
              <w:jc w:val="center"/>
            </w:pPr>
            <w:r>
              <w:rPr>
                <w:rFonts w:ascii="Times New Roman" w:hAnsi="Times New Roman" w:eastAsia="Times New Roman"/>
                <w:b/>
                <w:color w:val="17365D"/>
                <w:sz w:val="22"/>
              </w:rPr>
              <w:t>PT trung bình = 11,52 + 2,13 + 0,976 × 46,19 = 58,73 phút</w:t>
            </w:r>
          </w:p>
        </w:tc>
      </w:tr>
    </w:tbl>
    <w:p>
      <w:pPr>
        <w:spacing w:after="20"/>
      </w:pPr>
    </w:p>
    <w:tbl>
      <w:tblPr>
        <w:tblW w:type="dxa" w:w="8400"/>
        <w:jc w:val="center"/>
        <w:tblLayout w:type="fixed"/>
        <w:tblLook w:firstColumn="1" w:firstRow="1" w:lastColumn="0" w:lastRow="0" w:noHBand="0" w:noVBand="1" w:val="04A0"/>
        <w:tblInd w:w="0" w:type="dxa"/>
        <w:tblBorders>
          <w:top w:val="single" w:sz="10" w:color="2F75B5"/>
          <w:left w:val="single" w:sz="10" w:color="2F75B5"/>
          <w:bottom w:val="single" w:sz="10" w:color="2F75B5"/>
          <w:right w:val="single" w:sz="10" w:color="2F75B5"/>
          <w:insideH w:val="single" w:sz="10" w:color="2F75B5"/>
          <w:insideV w:val="single" w:sz="10" w:color="2F75B5"/>
        </w:tblBorders>
      </w:tblPr>
      <w:tblGrid>
        <w:gridCol w:w="8400"/>
      </w:tblGrid>
      <w:tr>
        <w:tc>
          <w:tcPr>
            <w:tcW w:type="dxa" w:w="8400"/>
            <w:shd w:fill="F3F7FB"/>
            <w:tcMar>
              <w:top w:w="120" w:type="dxa"/>
              <w:start w:w="110" w:type="dxa"/>
              <w:bottom w:w="120" w:type="dxa"/>
              <w:end w:w="110" w:type="dxa"/>
            </w:tcMar>
          </w:tcPr>
          <w:p>
            <w:pPr>
              <w:spacing w:before="0" w:after="0" w:line="259" w:lineRule="auto"/>
              <w:jc w:val="center"/>
            </w:pPr>
            <w:r>
              <w:rPr>
                <w:rFonts w:ascii="Times New Roman" w:hAnsi="Times New Roman" w:eastAsia="Times New Roman"/>
                <w:b/>
                <w:color w:val="17365D"/>
                <w:sz w:val="22"/>
              </w:rPr>
              <w:t>Hiệu suất thời gian = 58,73 / 91,60 × 100% = 64,12%</w:t>
            </w:r>
          </w:p>
        </w:tc>
      </w:tr>
    </w:tbl>
    <w:p>
      <w:pPr>
        <w:spacing w:after="20"/>
      </w:pP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2900"/>
        <w:gridCol w:w="1800"/>
        <w:gridCol w:w="4360"/>
      </w:tblGrid>
      <w:tr>
        <w:trPr>
          <w:tblHeader w:val="true"/>
        </w:trPr>
        <w:tc>
          <w:tcPr>
            <w:tcW w:type="dxa" w:w="29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Chỉ số thời gian</w:t>
            </w:r>
          </w:p>
        </w:tc>
        <w:tc>
          <w:tcPr>
            <w:tcW w:type="dxa" w:w="18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Kết quả</w:t>
            </w:r>
          </w:p>
        </w:tc>
        <w:tc>
          <w:tcPr>
            <w:tcW w:type="dxa" w:w="436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Nhận xét</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Thời gian chu kỳ kỳ vọng</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91,60 phút</w:t>
            </w:r>
          </w:p>
        </w:tc>
        <w:tc>
          <w:tcPr>
            <w:tcW w:type="dxa" w:w="43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Bao gồm thời gian chờ và xác suất giao lại/hoàn hàng.</w:t>
            </w:r>
          </w:p>
        </w:tc>
      </w:tr>
      <w:tr>
        <w:tc>
          <w:tcPr>
            <w:tcW w:type="dxa" w:w="29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Thời gian xử lý kỳ vọng</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58,73 phút</w:t>
            </w:r>
          </w:p>
        </w:tc>
        <w:tc>
          <w:tcPr>
            <w:tcW w:type="dxa" w:w="43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Thời gian thực hiện hoạt động của các bên trong mô hình.</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Thời gian không tạo giá trị</w:t>
            </w:r>
          </w:p>
        </w:tc>
        <w:tc>
          <w:tcPr>
            <w:tcW w:type="dxa" w:w="18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32,87 phút</w:t>
            </w:r>
          </w:p>
        </w:tc>
        <w:tc>
          <w:tcPr>
            <w:tcW w:type="dxa" w:w="43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Chủ yếu do chờ phân công, phản hồi và lịch giao lại.</w:t>
            </w:r>
          </w:p>
        </w:tc>
      </w:tr>
      <w:tr>
        <w:tc>
          <w:tcPr>
            <w:tcW w:type="dxa" w:w="29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Hiệu suất thời gian</w:t>
            </w:r>
          </w:p>
        </w:tc>
        <w:tc>
          <w:tcPr>
            <w:tcW w:type="dxa" w:w="18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64,12%</w:t>
            </w:r>
          </w:p>
        </w:tc>
        <w:tc>
          <w:tcPr>
            <w:tcW w:type="dxa" w:w="43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Còn dư địa lớn để giảm Hold/Waiting.</w:t>
            </w:r>
          </w:p>
        </w:tc>
      </w:tr>
    </w:tbl>
    <w:p>
      <w:pPr>
        <w:pStyle w:val="Caption"/>
      </w:pPr>
      <w:r>
        <w:t>Bảng 3.6.10. Kết quả phân tích thời gian</w:t>
      </w:r>
    </w:p>
    <w:p>
      <w:r>
        <w:br w:type="page"/>
      </w:r>
    </w:p>
    <w:p>
      <w:pPr>
        <w:pStyle w:val="Heading3"/>
      </w:pPr>
      <w:r>
        <w:t>3.6.5.3. Xác suất kết quả</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2900"/>
        <w:gridCol w:w="1900"/>
        <w:gridCol w:w="4260"/>
      </w:tblGrid>
      <w:tr>
        <w:trPr>
          <w:tblHeader w:val="true"/>
        </w:trPr>
        <w:tc>
          <w:tcPr>
            <w:tcW w:type="dxa" w:w="29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Kết quả</w:t>
            </w:r>
          </w:p>
        </w:tc>
        <w:tc>
          <w:tcPr>
            <w:tcW w:type="dxa" w:w="19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Xác suất kỳ vọng</w:t>
            </w:r>
          </w:p>
        </w:tc>
        <w:tc>
          <w:tcPr>
            <w:tcW w:type="dxa" w:w="426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9"/>
              </w:rPr>
              <w:t>Cách xác định</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Giao thành công</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88,58%</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Đã liên hệ, khách chấp nhận và COD thành công nếu có.</w:t>
            </w:r>
          </w:p>
        </w:tc>
      </w:tr>
      <w:tr>
        <w:tc>
          <w:tcPr>
            <w:tcW w:type="dxa" w:w="29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Không liên hệ được sau giao lại</w:t>
            </w:r>
          </w:p>
        </w:tc>
        <w:tc>
          <w:tcPr>
            <w:tcW w:type="dxa" w:w="19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2,40%</w:t>
            </w:r>
          </w:p>
        </w:tc>
        <w:tc>
          <w:tcPr>
            <w:tcW w:type="dxa" w:w="42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0,12 × 0,20.</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Khách từ chối nhận</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7,81%</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0,976 × 0,08.</w:t>
            </w:r>
          </w:p>
        </w:tc>
      </w:tr>
      <w:tr>
        <w:tc>
          <w:tcPr>
            <w:tcW w:type="dxa" w:w="29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Thanh toán COD thất bại</w:t>
            </w:r>
          </w:p>
        </w:tc>
        <w:tc>
          <w:tcPr>
            <w:tcW w:type="dxa" w:w="19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1,21%</w:t>
            </w:r>
          </w:p>
        </w:tc>
        <w:tc>
          <w:tcPr>
            <w:tcW w:type="dxa" w:w="42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0,976 × 0,92 × 0,45 × 0,03.</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9"/>
              </w:rPr>
              <w:t>Tổng giao thất bại</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9"/>
              </w:rPr>
              <w:t>11,42%</w:t>
            </w:r>
          </w:p>
        </w:tc>
        <w:tc>
          <w:tcPr>
            <w:tcW w:type="dxa" w:w="42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9"/>
              </w:rPr>
              <w:t>Tổng ba nguyên nhân ngoại lệ nêu trên.</w:t>
            </w:r>
          </w:p>
        </w:tc>
      </w:tr>
    </w:tbl>
    <w:p>
      <w:pPr>
        <w:pStyle w:val="Caption"/>
      </w:pPr>
      <w:r>
        <w:t>Bảng 3.6.11. Xác suất kết quả trong kịch bản cơ sở</w:t>
      </w:r>
    </w:p>
    <w:p>
      <w:pPr>
        <w:pStyle w:val="Heading3"/>
      </w:pPr>
      <w:r>
        <w:t>3.6.5.4. Phân tích chi phí nhân công</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2500"/>
        <w:gridCol w:w="2500"/>
        <w:gridCol w:w="1900"/>
        <w:gridCol w:w="2160"/>
      </w:tblGrid>
      <w:tr>
        <w:trPr>
          <w:tblHeader w:val="true"/>
        </w:trPr>
        <w:tc>
          <w:tcPr>
            <w:tcW w:type="dxa" w:w="25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Nguồn lực</w:t>
            </w:r>
          </w:p>
        </w:tc>
        <w:tc>
          <w:tcPr>
            <w:tcW w:type="dxa" w:w="25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Thời gian hoạt động kỳ vọng</w:t>
            </w:r>
          </w:p>
        </w:tc>
        <w:tc>
          <w:tcPr>
            <w:tcW w:type="dxa" w:w="19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Đơn giá</w:t>
            </w:r>
          </w:p>
        </w:tc>
        <w:tc>
          <w:tcPr>
            <w:tcW w:type="dxa" w:w="216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Chi phí</w:t>
            </w:r>
          </w:p>
        </w:tc>
      </w:tr>
      <w:tr>
        <w:tc>
          <w:tcPr>
            <w:tcW w:type="dxa" w:w="25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OMS/CSKH</w:t>
            </w:r>
          </w:p>
        </w:tc>
        <w:tc>
          <w:tcPr>
            <w:tcW w:type="dxa" w:w="25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3,64 phút</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50.000 VNĐ/giờ</w:t>
            </w:r>
          </w:p>
        </w:tc>
        <w:tc>
          <w:tcPr>
            <w:tcW w:type="dxa" w:w="21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3.030 VNĐ</w:t>
            </w:r>
          </w:p>
        </w:tc>
      </w:tr>
      <w:tr>
        <w:tc>
          <w:tcPr>
            <w:tcW w:type="dxa" w:w="25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Điều phối giao hàng</w:t>
            </w:r>
          </w:p>
        </w:tc>
        <w:tc>
          <w:tcPr>
            <w:tcW w:type="dxa" w:w="25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7,23 phút</w:t>
            </w:r>
          </w:p>
        </w:tc>
        <w:tc>
          <w:tcPr>
            <w:tcW w:type="dxa" w:w="19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55.000 VNĐ/giờ</w:t>
            </w:r>
          </w:p>
        </w:tc>
        <w:tc>
          <w:tcPr>
            <w:tcW w:type="dxa" w:w="21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6.626 VNĐ</w:t>
            </w:r>
          </w:p>
        </w:tc>
      </w:tr>
      <w:tr>
        <w:tc>
          <w:tcPr>
            <w:tcW w:type="dxa" w:w="25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Nhân viên giao hàng</w:t>
            </w:r>
          </w:p>
        </w:tc>
        <w:tc>
          <w:tcPr>
            <w:tcW w:type="dxa" w:w="25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44,96 phút</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45.000 VNĐ/giờ</w:t>
            </w:r>
          </w:p>
        </w:tc>
        <w:tc>
          <w:tcPr>
            <w:tcW w:type="dxa" w:w="21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33.717 VNĐ</w:t>
            </w:r>
          </w:p>
        </w:tc>
      </w:tr>
      <w:tr>
        <w:tc>
          <w:tcPr>
            <w:tcW w:type="dxa" w:w="25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Tổng kỳ vọng/đơn bắt đầu</w:t>
            </w:r>
          </w:p>
        </w:tc>
        <w:tc>
          <w:tcPr>
            <w:tcW w:type="dxa" w:w="25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w:t>
            </w:r>
          </w:p>
        </w:tc>
        <w:tc>
          <w:tcPr>
            <w:tcW w:type="dxa" w:w="19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w:t>
            </w:r>
          </w:p>
        </w:tc>
        <w:tc>
          <w:tcPr>
            <w:tcW w:type="dxa" w:w="21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43.373 VNĐ</w:t>
            </w:r>
          </w:p>
        </w:tc>
      </w:tr>
      <w:tr>
        <w:tc>
          <w:tcPr>
            <w:tcW w:type="dxa" w:w="25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Chi phí/đơn giao thành công</w:t>
            </w:r>
          </w:p>
        </w:tc>
        <w:tc>
          <w:tcPr>
            <w:tcW w:type="dxa" w:w="25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w:t>
            </w:r>
          </w:p>
        </w:tc>
        <w:tc>
          <w:tcPr>
            <w:tcW w:type="dxa" w:w="19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w:t>
            </w:r>
          </w:p>
        </w:tc>
        <w:tc>
          <w:tcPr>
            <w:tcW w:type="dxa" w:w="21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48.965 VNĐ</w:t>
            </w:r>
          </w:p>
        </w:tc>
      </w:tr>
    </w:tbl>
    <w:p>
      <w:pPr>
        <w:pStyle w:val="Caption"/>
      </w:pPr>
      <w:r>
        <w:t>Bảng 3.6.12. Chi phí nhân công kỳ vọng</w:t>
      </w:r>
    </w:p>
    <w:tbl>
      <w:tblPr>
        <w:tblW w:type="dxa" w:w="8400"/>
        <w:jc w:val="center"/>
        <w:tblLayout w:type="fixed"/>
        <w:tblLook w:firstColumn="1" w:firstRow="1" w:lastColumn="0" w:lastRow="0" w:noHBand="0" w:noVBand="1" w:val="04A0"/>
        <w:tblInd w:w="0" w:type="dxa"/>
        <w:tblBorders>
          <w:top w:val="single" w:sz="10" w:color="2F75B5"/>
          <w:left w:val="single" w:sz="10" w:color="2F75B5"/>
          <w:bottom w:val="single" w:sz="10" w:color="2F75B5"/>
          <w:right w:val="single" w:sz="10" w:color="2F75B5"/>
          <w:insideH w:val="single" w:sz="10" w:color="2F75B5"/>
          <w:insideV w:val="single" w:sz="10" w:color="2F75B5"/>
        </w:tblBorders>
      </w:tblPr>
      <w:tblGrid>
        <w:gridCol w:w="8400"/>
      </w:tblGrid>
      <w:tr>
        <w:tc>
          <w:tcPr>
            <w:tcW w:type="dxa" w:w="8400"/>
            <w:shd w:fill="F3F7FB"/>
            <w:tcMar>
              <w:top w:w="120" w:type="dxa"/>
              <w:start w:w="110" w:type="dxa"/>
              <w:bottom w:w="120" w:type="dxa"/>
              <w:end w:w="110" w:type="dxa"/>
            </w:tcMar>
          </w:tcPr>
          <w:p>
            <w:pPr>
              <w:spacing w:before="0" w:after="0" w:line="259" w:lineRule="auto"/>
              <w:jc w:val="center"/>
            </w:pPr>
            <w:r>
              <w:rPr>
                <w:rFonts w:ascii="Times New Roman" w:hAnsi="Times New Roman" w:eastAsia="Times New Roman"/>
                <w:b/>
                <w:color w:val="17365D"/>
                <w:sz w:val="22"/>
              </w:rPr>
              <w:t>Chi phí kỳ vọng/đơn = 3,64×50.000/60 + 7,23×55.000/60 + 44,96×45.000/60 = 43.373 VNĐ</w:t>
            </w:r>
          </w:p>
        </w:tc>
      </w:tr>
    </w:tbl>
    <w:p>
      <w:pPr>
        <w:spacing w:after="20"/>
      </w:pPr>
    </w:p>
    <w:tbl>
      <w:tblPr>
        <w:tblW w:type="dxa" w:w="8400"/>
        <w:jc w:val="center"/>
        <w:tblLayout w:type="fixed"/>
        <w:tblLook w:firstColumn="1" w:firstRow="1" w:lastColumn="0" w:lastRow="0" w:noHBand="0" w:noVBand="1" w:val="04A0"/>
        <w:tblInd w:w="0" w:type="dxa"/>
        <w:tblBorders>
          <w:top w:val="single" w:sz="10" w:color="2F75B5"/>
          <w:left w:val="single" w:sz="10" w:color="2F75B5"/>
          <w:bottom w:val="single" w:sz="10" w:color="2F75B5"/>
          <w:right w:val="single" w:sz="10" w:color="2F75B5"/>
          <w:insideH w:val="single" w:sz="10" w:color="2F75B5"/>
          <w:insideV w:val="single" w:sz="10" w:color="2F75B5"/>
        </w:tblBorders>
      </w:tblPr>
      <w:tblGrid>
        <w:gridCol w:w="8400"/>
      </w:tblGrid>
      <w:tr>
        <w:tc>
          <w:tcPr>
            <w:tcW w:type="dxa" w:w="8400"/>
            <w:shd w:fill="F3F7FB"/>
            <w:tcMar>
              <w:top w:w="120" w:type="dxa"/>
              <w:start w:w="110" w:type="dxa"/>
              <w:bottom w:w="120" w:type="dxa"/>
              <w:end w:w="110" w:type="dxa"/>
            </w:tcMar>
          </w:tcPr>
          <w:p>
            <w:pPr>
              <w:spacing w:before="0" w:after="0" w:line="259" w:lineRule="auto"/>
              <w:jc w:val="center"/>
            </w:pPr>
            <w:r>
              <w:rPr>
                <w:rFonts w:ascii="Times New Roman" w:hAnsi="Times New Roman" w:eastAsia="Times New Roman"/>
                <w:b/>
                <w:color w:val="17365D"/>
                <w:sz w:val="22"/>
              </w:rPr>
              <w:t>Chi phí nhân công/đơn giao thành công = 43.373 / 0,8858 = 48.965 VNĐ</w:t>
            </w:r>
          </w:p>
        </w:tc>
      </w:tr>
    </w:tbl>
    <w:p>
      <w:pPr>
        <w:spacing w:after="20"/>
      </w:pPr>
    </w:p>
    <w:p>
      <w:pPr>
        <w:spacing w:before="0" w:after="120" w:line="307" w:lineRule="auto"/>
        <w:jc w:val="both"/>
      </w:pPr>
      <w:r>
        <w:rPr>
          <w:rFonts w:ascii="Times New Roman" w:hAnsi="Times New Roman" w:eastAsia="Times New Roman"/>
          <w:i/>
        </w:rPr>
        <w:t>Chi phí trên chỉ phản ánh nhân công theo thời gian hoạt động kỳ vọng. Nhiên liệu, khấu hao phương tiện, phí đối tác giao nhận, chi phí hàng hoàn và chi phí cơ hội doanh thu chưa được tính.</w:t>
      </w:r>
    </w:p>
    <w:p>
      <w:pPr>
        <w:pStyle w:val="Heading3"/>
      </w:pPr>
      <w:r>
        <w:t>3.6.5.5. Bộ chỉ số đề xuất</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2900"/>
        <w:gridCol w:w="4200"/>
        <w:gridCol w:w="1960"/>
      </w:tblGrid>
      <w:tr>
        <w:trPr>
          <w:tblHeader w:val="true"/>
        </w:trPr>
        <w:tc>
          <w:tcPr>
            <w:tcW w:type="dxa" w:w="29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KPI</w:t>
            </w:r>
          </w:p>
        </w:tc>
        <w:tc>
          <w:tcPr>
            <w:tcW w:type="dxa" w:w="42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Công thức</w:t>
            </w:r>
          </w:p>
        </w:tc>
        <w:tc>
          <w:tcPr>
            <w:tcW w:type="dxa" w:w="196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8"/>
              </w:rPr>
              <w:t>Mục tiêu gợi ý</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First-attempt delivery rate</w:t>
            </w:r>
          </w:p>
        </w:tc>
        <w:tc>
          <w:tcPr>
            <w:tcW w:type="dxa" w:w="42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Đơn giao thành công lần đầu / tổng đơn giao</w:t>
            </w:r>
          </w:p>
        </w:tc>
        <w:tc>
          <w:tcPr>
            <w:tcW w:type="dxa" w:w="19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&gt;= 90%</w:t>
            </w:r>
          </w:p>
        </w:tc>
      </w:tr>
      <w:tr>
        <w:tc>
          <w:tcPr>
            <w:tcW w:type="dxa" w:w="29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On-time delivery rate</w:t>
            </w:r>
          </w:p>
        </w:tc>
        <w:tc>
          <w:tcPr>
            <w:tcW w:type="dxa" w:w="42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Đơn giao trong SLA / tổng đơn giao thành công</w:t>
            </w:r>
          </w:p>
        </w:tc>
        <w:tc>
          <w:tcPr>
            <w:tcW w:type="dxa" w:w="19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&gt;= 95%</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Contact success rate</w:t>
            </w:r>
          </w:p>
        </w:tc>
        <w:tc>
          <w:tcPr>
            <w:tcW w:type="dxa" w:w="42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Khách phản hồi trước khi giao / tổng đơn</w:t>
            </w:r>
          </w:p>
        </w:tc>
        <w:tc>
          <w:tcPr>
            <w:tcW w:type="dxa" w:w="19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&gt;= 95%</w:t>
            </w:r>
          </w:p>
        </w:tc>
      </w:tr>
      <w:tr>
        <w:tc>
          <w:tcPr>
            <w:tcW w:type="dxa" w:w="29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POD completeness</w:t>
            </w:r>
          </w:p>
        </w:tc>
        <w:tc>
          <w:tcPr>
            <w:tcW w:type="dxa" w:w="42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Đơn có đủ OTP/chữ ký/ảnh / đơn đã giao</w:t>
            </w:r>
          </w:p>
        </w:tc>
        <w:tc>
          <w:tcPr>
            <w:tcW w:type="dxa" w:w="19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&gt;= 99,5%</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COD reconciliation accuracy</w:t>
            </w:r>
          </w:p>
        </w:tc>
        <w:tc>
          <w:tcPr>
            <w:tcW w:type="dxa" w:w="42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Giao dịch COD khớp / tổng giao dịch COD</w:t>
            </w:r>
          </w:p>
        </w:tc>
        <w:tc>
          <w:tcPr>
            <w:tcW w:type="dxa" w:w="19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&gt;= 99,8%</w:t>
            </w:r>
          </w:p>
        </w:tc>
      </w:tr>
      <w:tr>
        <w:tc>
          <w:tcPr>
            <w:tcW w:type="dxa" w:w="290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Return aging</w:t>
            </w:r>
          </w:p>
        </w:tc>
        <w:tc>
          <w:tcPr>
            <w:tcW w:type="dxa" w:w="42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Thời gian từ giao thất bại đến hoàn tất nhập hoàn</w:t>
            </w:r>
          </w:p>
        </w:tc>
        <w:tc>
          <w:tcPr>
            <w:tcW w:type="dxa" w:w="1960"/>
            <w:shd w:fill="FAFCFE"/>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&lt;= 24 giờ</w:t>
            </w:r>
          </w:p>
        </w:tc>
      </w:tr>
      <w:tr>
        <w:tc>
          <w:tcPr>
            <w:tcW w:type="dxa" w:w="290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sz w:val="18"/>
              </w:rPr>
              <w:t>Customer satisfaction</w:t>
            </w:r>
          </w:p>
        </w:tc>
        <w:tc>
          <w:tcPr>
            <w:tcW w:type="dxa" w:w="42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8"/>
              </w:rPr>
              <w:t>Điểm hài lòng sau giao hàng</w:t>
            </w:r>
          </w:p>
        </w:tc>
        <w:tc>
          <w:tcPr>
            <w:tcW w:type="dxa" w:w="1960"/>
            <w:vAlign w:val="center"/>
            <w:tcMar>
              <w:top w:w="80" w:type="dxa"/>
              <w:start w:w="110" w:type="dxa"/>
              <w:bottom w:w="80" w:type="dxa"/>
              <w:end w:w="110" w:type="dxa"/>
            </w:tcMar>
          </w:tcPr>
          <w:p>
            <w:pPr>
              <w:spacing w:before="0" w:after="0" w:line="259" w:lineRule="auto"/>
              <w:jc w:val="center"/>
            </w:pPr>
            <w:r>
              <w:rPr>
                <w:rFonts w:ascii="Times New Roman" w:hAnsi="Times New Roman" w:eastAsia="Times New Roman"/>
                <w:b w:val="0"/>
                <w:sz w:val="18"/>
              </w:rPr>
              <w:t>&gt;= 4,5/5</w:t>
            </w:r>
          </w:p>
        </w:tc>
      </w:tr>
    </w:tbl>
    <w:p>
      <w:pPr>
        <w:pStyle w:val="Caption"/>
      </w:pPr>
      <w:r>
        <w:t>Bảng 3.6.13. Bộ chỉ số giám sát quy trình</w:t>
      </w:r>
    </w:p>
    <w:p>
      <w:pPr>
        <w:pStyle w:val="Heading2"/>
        <w:spacing w:before="840"/>
      </w:pPr>
      <w:r>
        <w:t>3.6.6. Đề xuất cải tiến</w:t>
      </w:r>
    </w:p>
    <w:tbl>
      <w:tblPr>
        <w:tblW w:type="dxa" w:w="9060"/>
        <w:jc w:val="center"/>
        <w:tblLayout w:type="fixed"/>
        <w:tblLook w:firstColumn="1" w:firstRow="1" w:lastColumn="0" w:lastRow="0" w:noHBand="0" w:noVBand="1" w:val="04A0"/>
        <w:tblInd w:w="0" w:type="dxa"/>
        <w:tblBorders>
          <w:top w:val="single" w:sz="6" w:color="9EADBA"/>
          <w:left w:val="single" w:sz="6" w:color="9EADBA"/>
          <w:bottom w:val="single" w:sz="6" w:color="9EADBA"/>
          <w:right w:val="single" w:sz="6" w:color="9EADBA"/>
          <w:insideH w:val="single" w:sz="6" w:color="9EADBA"/>
          <w:insideV w:val="single" w:sz="6" w:color="9EADBA"/>
        </w:tblBorders>
      </w:tblPr>
      <w:tblGrid>
        <w:gridCol w:w="850"/>
        <w:gridCol w:w="2850"/>
        <w:gridCol w:w="1100"/>
        <w:gridCol w:w="3150"/>
        <w:gridCol w:w="1110"/>
      </w:tblGrid>
      <w:tr>
        <w:trPr>
          <w:tblHeader w:val="true"/>
        </w:trPr>
        <w:tc>
          <w:tcPr>
            <w:tcW w:type="dxa" w:w="8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Mã</w:t>
            </w:r>
          </w:p>
        </w:tc>
        <w:tc>
          <w:tcPr>
            <w:tcW w:type="dxa" w:w="28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Giải pháp</w:t>
            </w:r>
          </w:p>
        </w:tc>
        <w:tc>
          <w:tcPr>
            <w:tcW w:type="dxa" w:w="110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Vấn đề</w:t>
            </w:r>
          </w:p>
        </w:tc>
        <w:tc>
          <w:tcPr>
            <w:tcW w:type="dxa" w:w="315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Lợi ích kỳ vọng</w:t>
            </w:r>
          </w:p>
        </w:tc>
        <w:tc>
          <w:tcPr>
            <w:tcW w:type="dxa" w:w="1110"/>
            <w:shd w:fill="DDEBF7"/>
            <w:vAlign w:val="center"/>
            <w:tcMar>
              <w:top w:w="100" w:type="dxa"/>
              <w:start w:w="110" w:type="dxa"/>
              <w:bottom w:w="100" w:type="dxa"/>
              <w:end w:w="110" w:type="dxa"/>
            </w:tcMar>
          </w:tcPr>
          <w:p>
            <w:pPr>
              <w:spacing w:before="0" w:after="0" w:line="252" w:lineRule="auto"/>
              <w:jc w:val="center"/>
            </w:pPr>
            <w:r>
              <w:rPr>
                <w:rFonts w:ascii="Times New Roman" w:hAnsi="Times New Roman" w:eastAsia="Times New Roman"/>
                <w:b/>
                <w:color w:val="17365D"/>
                <w:sz w:val="17"/>
              </w:rPr>
              <w:t>Mức ưu tiên</w:t>
            </w:r>
          </w:p>
        </w:tc>
      </w:tr>
      <w:tr>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7"/>
              </w:rPr>
              <w:t>IMP-01</w:t>
            </w:r>
          </w:p>
        </w:tc>
        <w:tc>
          <w:tcPr>
            <w:tcW w:type="dxa" w:w="2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Xác thực địa chỉ và số điện thoại tại checkout</w:t>
            </w:r>
          </w:p>
        </w:tc>
        <w:tc>
          <w:tcPr>
            <w:tcW w:type="dxa" w:w="11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ISS-01</w:t>
            </w:r>
          </w:p>
        </w:tc>
        <w:tc>
          <w:tcPr>
            <w:tcW w:type="dxa" w:w="31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Giảm vòng sửa dữ liệu và giao sai địa chỉ.</w:t>
            </w:r>
          </w:p>
        </w:tc>
        <w:tc>
          <w:tcPr>
            <w:tcW w:type="dxa" w:w="111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Trung hạn</w:t>
            </w:r>
          </w:p>
        </w:tc>
      </w:tr>
      <w:tr>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7"/>
              </w:rPr>
              <w:t>IMP-02</w:t>
            </w:r>
          </w:p>
        </w:tc>
        <w:tc>
          <w:tcPr>
            <w:tcW w:type="dxa" w:w="2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ETA động và liên kết xác nhận lịch giao hai chiều</w:t>
            </w:r>
          </w:p>
        </w:tc>
        <w:tc>
          <w:tcPr>
            <w:tcW w:type="dxa" w:w="11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ISS-02</w:t>
            </w:r>
          </w:p>
        </w:tc>
        <w:tc>
          <w:tcPr>
            <w:tcW w:type="dxa" w:w="31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Tăng tỷ lệ liên hệ/giao lần đầu; giảm giao lại.</w:t>
            </w:r>
          </w:p>
        </w:tc>
        <w:tc>
          <w:tcPr>
            <w:tcW w:type="dxa" w:w="111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Ưu tiên 1</w:t>
            </w:r>
          </w:p>
        </w:tc>
      </w:tr>
      <w:tr>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7"/>
              </w:rPr>
              <w:t>IMP-03</w:t>
            </w:r>
          </w:p>
        </w:tc>
        <w:tc>
          <w:tcPr>
            <w:tcW w:type="dxa" w:w="2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Đồng bộ sự kiện OMS-TMS-app giao hàng</w:t>
            </w:r>
          </w:p>
        </w:tc>
        <w:tc>
          <w:tcPr>
            <w:tcW w:type="dxa" w:w="11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ISS-03</w:t>
            </w:r>
          </w:p>
        </w:tc>
        <w:tc>
          <w:tcPr>
            <w:tcW w:type="dxa" w:w="31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Một nguồn trạng thái; giảm nhập liệu lặp và cuộc gọi CSKH.</w:t>
            </w:r>
          </w:p>
        </w:tc>
        <w:tc>
          <w:tcPr>
            <w:tcW w:type="dxa" w:w="111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Ưu tiên 1</w:t>
            </w:r>
          </w:p>
        </w:tc>
      </w:tr>
      <w:tr>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7"/>
              </w:rPr>
              <w:t>IMP-04</w:t>
            </w:r>
          </w:p>
        </w:tc>
        <w:tc>
          <w:tcPr>
            <w:tcW w:type="dxa" w:w="2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ePOD bắt buộc: OTP + ảnh + thời gian + vị trí</w:t>
            </w:r>
          </w:p>
        </w:tc>
        <w:tc>
          <w:tcPr>
            <w:tcW w:type="dxa" w:w="11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ISS-06</w:t>
            </w:r>
          </w:p>
        </w:tc>
        <w:tc>
          <w:tcPr>
            <w:tcW w:type="dxa" w:w="31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Tăng khả năng đối soát và xử lý tranh chấp.</w:t>
            </w:r>
          </w:p>
        </w:tc>
        <w:tc>
          <w:tcPr>
            <w:tcW w:type="dxa" w:w="111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Ưu tiên 2</w:t>
            </w:r>
          </w:p>
        </w:tc>
      </w:tr>
      <w:tr>
        <w:tc>
          <w:tcPr>
            <w:tcW w:type="dxa" w:w="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7"/>
              </w:rPr>
              <w:t>IMP-05</w:t>
            </w:r>
          </w:p>
        </w:tc>
        <w:tc>
          <w:tcPr>
            <w:tcW w:type="dxa" w:w="28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Thanh toán COD bằng QR động và phương thức dự phòng</w:t>
            </w:r>
          </w:p>
        </w:tc>
        <w:tc>
          <w:tcPr>
            <w:tcW w:type="dxa" w:w="110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ISS-05</w:t>
            </w:r>
          </w:p>
        </w:tc>
        <w:tc>
          <w:tcPr>
            <w:tcW w:type="dxa" w:w="315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Giảm lỗi thu tiền tại điểm giao.</w:t>
            </w:r>
          </w:p>
        </w:tc>
        <w:tc>
          <w:tcPr>
            <w:tcW w:type="dxa" w:w="1110"/>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Ưu tiên 2</w:t>
            </w:r>
          </w:p>
        </w:tc>
      </w:tr>
      <w:tr>
        <w:tc>
          <w:tcPr>
            <w:tcW w:type="dxa" w:w="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sz w:val="17"/>
              </w:rPr>
              <w:t>IMP-06</w:t>
            </w:r>
          </w:p>
        </w:tc>
        <w:tc>
          <w:tcPr>
            <w:tcW w:type="dxa" w:w="28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Workflow ngoại lệ với mã lý do chuẩn và SLA</w:t>
            </w:r>
          </w:p>
        </w:tc>
        <w:tc>
          <w:tcPr>
            <w:tcW w:type="dxa" w:w="110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ISS-04/06</w:t>
            </w:r>
          </w:p>
        </w:tc>
        <w:tc>
          <w:tcPr>
            <w:tcW w:type="dxa" w:w="315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Rút ngắn xử lý từ chối, hoàn hàng và khiếu nại.</w:t>
            </w:r>
          </w:p>
        </w:tc>
        <w:tc>
          <w:tcPr>
            <w:tcW w:type="dxa" w:w="1110"/>
            <w:shd w:fill="FAFCFE"/>
            <w:vAlign w:val="center"/>
            <w:tcMar>
              <w:top w:w="80" w:type="dxa"/>
              <w:start w:w="110" w:type="dxa"/>
              <w:bottom w:w="80" w:type="dxa"/>
              <w:end w:w="110" w:type="dxa"/>
            </w:tcMar>
          </w:tcPr>
          <w:p>
            <w:pPr>
              <w:spacing w:before="0" w:after="0" w:line="259" w:lineRule="auto"/>
              <w:jc w:val="left"/>
            </w:pPr>
            <w:r>
              <w:rPr>
                <w:rFonts w:ascii="Times New Roman" w:hAnsi="Times New Roman" w:eastAsia="Times New Roman"/>
                <w:b w:val="0"/>
                <w:sz w:val="17"/>
              </w:rPr>
              <w:t>Ưu tiên 2</w:t>
            </w:r>
          </w:p>
        </w:tc>
      </w:tr>
    </w:tbl>
    <w:p>
      <w:pPr>
        <w:pStyle w:val="Caption"/>
      </w:pPr>
      <w:r>
        <w:t>Bảng 3.6.14. Danh mục hành động cải tiến</w:t>
      </w:r>
    </w:p>
    <w:tbl>
      <w:tblPr>
        <w:tblW w:type="dxa" w:w="9060"/>
        <w:jc w:val="center"/>
        <w:tblLayout w:type="fixed"/>
        <w:tblLook w:firstColumn="1" w:firstRow="1" w:lastColumn="0" w:lastRow="0" w:noHBand="0" w:noVBand="1" w:val="04A0"/>
        <w:tblInd w:w="0" w:type="dxa"/>
        <w:tblBorders>
          <w:top w:val="single" w:sz="7" w:color="9FBAD0"/>
          <w:left w:val="single" w:sz="7" w:color="9FBAD0"/>
          <w:bottom w:val="single" w:sz="7" w:color="9FBAD0"/>
          <w:right w:val="single" w:sz="7" w:color="9FBAD0"/>
          <w:insideH w:val="single" w:sz="7" w:color="9FBAD0"/>
          <w:insideV w:val="single" w:sz="7" w:color="9FBAD0"/>
        </w:tblBorders>
      </w:tblPr>
      <w:tblGrid>
        <w:gridCol w:w="9060"/>
      </w:tblGrid>
      <w:tr>
        <w:tc>
          <w:tcPr>
            <w:tcW w:type="dxa" w:w="9060"/>
            <w:shd w:fill="E2F0D9"/>
            <w:tcMar>
              <w:top w:w="140" w:type="dxa"/>
              <w:start w:w="160" w:type="dxa"/>
              <w:bottom w:w="140" w:type="dxa"/>
              <w:end w:w="160" w:type="dxa"/>
            </w:tcMar>
          </w:tcPr>
          <w:p>
            <w:pPr>
              <w:spacing w:before="0" w:after="0" w:line="283" w:lineRule="auto"/>
            </w:pPr>
            <w:r>
              <w:rPr>
                <w:rFonts w:ascii="Times New Roman" w:hAnsi="Times New Roman" w:eastAsia="Times New Roman"/>
                <w:b/>
                <w:color w:val="548235"/>
                <w:sz w:val="21"/>
              </w:rPr>
              <w:t xml:space="preserve">Khuyến nghị trọng tâm: </w:t>
            </w:r>
            <w:r>
              <w:rPr>
                <w:rFonts w:ascii="Times New Roman" w:hAnsi="Times New Roman" w:eastAsia="Times New Roman"/>
                <w:sz w:val="21"/>
              </w:rPr>
              <w:t>Ưu tiên triển khai ETA động và đồng bộ trạng thái OMS-TMS-app. Hai thay đổi này trực tiếp xử lý nguyên nhân gốc của việc không liên hệ được khách, đồng thời giảm chờ đợi, nhập liệu trùng lặp và cuộc gọi tra cứu trạng thái.</w:t>
            </w:r>
          </w:p>
        </w:tc>
      </w:tr>
    </w:tbl>
    <w:p>
      <w:pPr>
        <w:spacing w:after="20"/>
      </w:pPr>
    </w:p>
    <w:p>
      <w:pPr>
        <w:pStyle w:val="Heading2"/>
      </w:pPr>
      <w:r>
        <w:t>3.6.7. Kết luận</w:t>
      </w:r>
    </w:p>
    <w:p>
      <w:pPr>
        <w:spacing w:before="0" w:after="120" w:line="307" w:lineRule="auto"/>
        <w:jc w:val="both"/>
      </w:pPr>
      <w:r>
        <w:rPr>
          <w:rFonts w:ascii="Times New Roman" w:hAnsi="Times New Roman" w:eastAsia="Times New Roman"/>
          <w:i w:val="0"/>
        </w:rPr>
        <w:t>Quy trình giao hàng tận nơi và xác nhận tạo giá trị cốt lõi ở hoạt động vận chuyển, bàn giao và minh bạch hóa trạng thái cho khách hàng. Tuy nhiên, mô hình AS-IS cho thấy các lãng phí đáng chú ý nằm ở thời gian chờ phản hồi, giao lại, hoàn hàng và cập nhật thủ công giữa nhiều hệ thống. Trong kịch bản giả định, hiệu suất thời gian đạt 64,12% và xác suất giao thành công đạt 88,58%. Vì vậy, hướng cải tiến ưu tiên là xác nhận lịch giao hai chiều, tích hợp trạng thái theo thời gian thực và chuẩn hóa ePOD/ngoại lệ.</w:t>
      </w:r>
    </w:p>
    <w:p>
      <w:r>
        <w:br w:type="page"/>
      </w:r>
    </w:p>
    <w:p>
      <w:pPr>
        <w:pStyle w:val="Heading1"/>
      </w:pPr>
      <w:r>
        <w:t>Phụ lục A. Bộ câu hỏi phỏng vấn thu thập số liệu thực tế</w:t>
      </w:r>
    </w:p>
    <w:p>
      <w:pPr>
        <w:pStyle w:val="Heading2"/>
      </w:pPr>
      <w:r>
        <w:t>A.1. Câu hỏi định tính</w:t>
      </w:r>
    </w:p>
    <w:p>
      <w:pPr>
        <w:spacing w:after="60" w:line="320" w:lineRule="exact"/>
        <w:ind w:left="425" w:hanging="312"/>
        <w:jc w:val="both"/>
      </w:pPr>
      <w:r>
        <w:rPr>
          <w:rFonts w:ascii="Times New Roman" w:hAnsi="Times New Roman" w:eastAsia="Times New Roman"/>
        </w:rPr>
        <w:t>1.  Những nguyên nhân nào thường làm đơn giao không thành công trong lần đầu?</w:t>
      </w:r>
    </w:p>
    <w:p>
      <w:pPr>
        <w:spacing w:after="60" w:line="320" w:lineRule="exact"/>
        <w:ind w:left="425" w:hanging="312"/>
        <w:jc w:val="both"/>
      </w:pPr>
      <w:r>
        <w:rPr>
          <w:rFonts w:ascii="Times New Roman" w:hAnsi="Times New Roman" w:eastAsia="Times New Roman"/>
        </w:rPr>
        <w:t>2.  Nhân viên hiện nhận thông tin địa chỉ, số điện thoại và ghi chú giao hàng từ hệ thống nào?</w:t>
      </w:r>
    </w:p>
    <w:p>
      <w:pPr>
        <w:spacing w:after="60" w:line="320" w:lineRule="exact"/>
        <w:ind w:left="425" w:hanging="312"/>
        <w:jc w:val="both"/>
      </w:pPr>
      <w:r>
        <w:rPr>
          <w:rFonts w:ascii="Times New Roman" w:hAnsi="Times New Roman" w:eastAsia="Times New Roman"/>
        </w:rPr>
        <w:t>3.  Trạng thái nào phải nhập lại trên nhiều hệ thống hoặc báo qua nhóm chat/điện thoại?</w:t>
      </w:r>
    </w:p>
    <w:p>
      <w:pPr>
        <w:spacing w:after="60" w:line="320" w:lineRule="exact"/>
        <w:ind w:left="425" w:hanging="312"/>
        <w:jc w:val="both"/>
      </w:pPr>
      <w:r>
        <w:rPr>
          <w:rFonts w:ascii="Times New Roman" w:hAnsi="Times New Roman" w:eastAsia="Times New Roman"/>
        </w:rPr>
        <w:t>4.  Khi khách từ chối nhận, nhân viên cần thu thập bằng chứng và xin phê duyệt như thế nào?</w:t>
      </w:r>
    </w:p>
    <w:p>
      <w:pPr>
        <w:spacing w:after="60" w:line="320" w:lineRule="exact"/>
        <w:ind w:left="425" w:hanging="312"/>
        <w:jc w:val="both"/>
      </w:pPr>
      <w:r>
        <w:rPr>
          <w:rFonts w:ascii="Times New Roman" w:hAnsi="Times New Roman" w:eastAsia="Times New Roman"/>
        </w:rPr>
        <w:t>5.  Điều phối xử lý thay đổi tuyến, đổi nhân viên hoặc giao lại ra sao?</w:t>
      </w:r>
    </w:p>
    <w:p>
      <w:pPr>
        <w:spacing w:after="60" w:line="320" w:lineRule="exact"/>
        <w:ind w:left="425" w:hanging="312"/>
        <w:jc w:val="both"/>
      </w:pPr>
      <w:r>
        <w:rPr>
          <w:rFonts w:ascii="Times New Roman" w:hAnsi="Times New Roman" w:eastAsia="Times New Roman"/>
        </w:rPr>
        <w:t>6.  POD tối thiểu gồm những trường nào và trường hợp nào thường bị thiếu?</w:t>
      </w:r>
    </w:p>
    <w:p>
      <w:pPr>
        <w:spacing w:after="60" w:line="320" w:lineRule="exact"/>
        <w:ind w:left="425" w:hanging="312"/>
        <w:jc w:val="both"/>
      </w:pPr>
      <w:r>
        <w:rPr>
          <w:rFonts w:ascii="Times New Roman" w:hAnsi="Times New Roman" w:eastAsia="Times New Roman"/>
        </w:rPr>
        <w:t>7.  Các khó khăn khi thu COD và đối soát cuối ca là gì?</w:t>
      </w:r>
    </w:p>
    <w:p>
      <w:pPr>
        <w:spacing w:after="60" w:line="320" w:lineRule="exact"/>
        <w:ind w:left="425" w:hanging="312"/>
        <w:jc w:val="both"/>
      </w:pPr>
      <w:r>
        <w:rPr>
          <w:rFonts w:ascii="Times New Roman" w:hAnsi="Times New Roman" w:eastAsia="Times New Roman"/>
        </w:rPr>
        <w:t>8.  Khách hàng thường phàn nàn điều gì về thời gian, thái độ, kiện hàng hoặc trạng thái đơn?</w:t>
      </w:r>
    </w:p>
    <w:p>
      <w:pPr>
        <w:pStyle w:val="Heading2"/>
      </w:pPr>
      <w:r>
        <w:t>A.2. Câu hỏi định lượng</w:t>
      </w:r>
    </w:p>
    <w:p>
      <w:pPr>
        <w:spacing w:after="60" w:line="320" w:lineRule="exact"/>
        <w:ind w:left="425" w:hanging="312"/>
        <w:jc w:val="both"/>
      </w:pPr>
      <w:r>
        <w:rPr>
          <w:rFonts w:ascii="Times New Roman" w:hAnsi="Times New Roman" w:eastAsia="Times New Roman"/>
        </w:rPr>
        <w:t>1.  Số đơn giao trung bình/ngày và số đơn/nhân viên/ca là bao nhiêu?</w:t>
      </w:r>
    </w:p>
    <w:p>
      <w:pPr>
        <w:spacing w:after="60" w:line="320" w:lineRule="exact"/>
        <w:ind w:left="425" w:hanging="312"/>
        <w:jc w:val="both"/>
      </w:pPr>
      <w:r>
        <w:rPr>
          <w:rFonts w:ascii="Times New Roman" w:hAnsi="Times New Roman" w:eastAsia="Times New Roman"/>
        </w:rPr>
        <w:t>2.  Tỷ lệ giao thành công lần đầu, giao lại, từ chối nhận và hoàn hàng trong ba tháng gần nhất?</w:t>
      </w:r>
    </w:p>
    <w:p>
      <w:pPr>
        <w:spacing w:after="60" w:line="320" w:lineRule="exact"/>
        <w:ind w:left="425" w:hanging="312"/>
        <w:jc w:val="both"/>
      </w:pPr>
      <w:r>
        <w:rPr>
          <w:rFonts w:ascii="Times New Roman" w:hAnsi="Times New Roman" w:eastAsia="Times New Roman"/>
        </w:rPr>
        <w:t>3.  Thời gian trung bình từ lúc đơn sẵn sàng giao đến lúc nhân viên nhận kiện?</w:t>
      </w:r>
    </w:p>
    <w:p>
      <w:pPr>
        <w:spacing w:after="60" w:line="320" w:lineRule="exact"/>
        <w:ind w:left="425" w:hanging="312"/>
        <w:jc w:val="both"/>
      </w:pPr>
      <w:r>
        <w:rPr>
          <w:rFonts w:ascii="Times New Roman" w:hAnsi="Times New Roman" w:eastAsia="Times New Roman"/>
        </w:rPr>
        <w:t>4.  Thời gian di chuyển trung bình, thời gian dừng tại điểm giao và thời gian chờ khách?</w:t>
      </w:r>
    </w:p>
    <w:p>
      <w:pPr>
        <w:spacing w:after="60" w:line="320" w:lineRule="exact"/>
        <w:ind w:left="425" w:hanging="312"/>
        <w:jc w:val="both"/>
      </w:pPr>
      <w:r>
        <w:rPr>
          <w:rFonts w:ascii="Times New Roman" w:hAnsi="Times New Roman" w:eastAsia="Times New Roman"/>
        </w:rPr>
        <w:t>5.  Tỷ lệ khách không nghe máy ở lần liên hệ đầu và tỷ lệ liên hệ được ở lần tiếp theo?</w:t>
      </w:r>
    </w:p>
    <w:p>
      <w:pPr>
        <w:spacing w:after="60" w:line="320" w:lineRule="exact"/>
        <w:ind w:left="425" w:hanging="312"/>
        <w:jc w:val="both"/>
      </w:pPr>
      <w:r>
        <w:rPr>
          <w:rFonts w:ascii="Times New Roman" w:hAnsi="Times New Roman" w:eastAsia="Times New Roman"/>
        </w:rPr>
        <w:t>6.  Tỷ lệ đơn COD, thời gian thu tiền và tỷ lệ lỗi/chênh lệch đối soát?</w:t>
      </w:r>
    </w:p>
    <w:p>
      <w:pPr>
        <w:spacing w:after="60" w:line="320" w:lineRule="exact"/>
        <w:ind w:left="425" w:hanging="312"/>
        <w:jc w:val="both"/>
      </w:pPr>
      <w:r>
        <w:rPr>
          <w:rFonts w:ascii="Times New Roman" w:hAnsi="Times New Roman" w:eastAsia="Times New Roman"/>
        </w:rPr>
        <w:t>7.  Tỷ lệ hồ sơ POD thiếu OTP, ảnh, chữ ký hoặc dấu thời gian?</w:t>
      </w:r>
    </w:p>
    <w:p>
      <w:pPr>
        <w:spacing w:after="60" w:line="320" w:lineRule="exact"/>
        <w:ind w:left="425" w:hanging="312"/>
        <w:jc w:val="both"/>
      </w:pPr>
      <w:r>
        <w:rPr>
          <w:rFonts w:ascii="Times New Roman" w:hAnsi="Times New Roman" w:eastAsia="Times New Roman"/>
        </w:rPr>
        <w:t>8.  Chi phí nhân công, nhiên liệu và phí đối tác bình quân cho một đơn bắt đầu và một đơn giao thành công?</w:t>
      </w:r>
    </w:p>
    <w:p>
      <w:pPr>
        <w:pStyle w:val="Heading1"/>
      </w:pPr>
      <w:r>
        <w:t>Phụ lục B. Cách sử dụng file BPMN</w:t>
      </w:r>
    </w:p>
    <w:p>
      <w:pPr>
        <w:spacing w:after="60" w:line="320" w:lineRule="exact"/>
        <w:ind w:left="425" w:hanging="312"/>
        <w:jc w:val="both"/>
      </w:pPr>
      <w:r>
        <w:rPr>
          <w:rFonts w:ascii="Times New Roman" w:hAnsi="Times New Roman" w:eastAsia="Times New Roman"/>
        </w:rPr>
        <w:t>1.  Truy cập https://demo.bpmn.io/new.</w:t>
      </w:r>
    </w:p>
    <w:p>
      <w:pPr>
        <w:spacing w:after="60" w:line="320" w:lineRule="exact"/>
        <w:ind w:left="425" w:hanging="312"/>
        <w:jc w:val="both"/>
      </w:pPr>
      <w:r>
        <w:rPr>
          <w:rFonts w:ascii="Times New Roman" w:hAnsi="Times New Roman" w:eastAsia="Times New Roman"/>
        </w:rPr>
        <w:t>2.  Chọn Open BPMN diagram from local file system và mở file quy-trinh-06-giao-hang-tan-noi-xac-nhan.bpmn.</w:t>
      </w:r>
    </w:p>
    <w:p>
      <w:pPr>
        <w:spacing w:after="60" w:line="320" w:lineRule="exact"/>
        <w:ind w:left="425" w:hanging="312"/>
        <w:jc w:val="both"/>
      </w:pPr>
      <w:r>
        <w:rPr>
          <w:rFonts w:ascii="Times New Roman" w:hAnsi="Times New Roman" w:eastAsia="Times New Roman"/>
        </w:rPr>
        <w:t>3.  Chỉnh tên doanh nghiệp, vai trò, tỷ lệ hoặc nhánh nghiệp vụ theo dữ liệu thực tế của nhóm.</w:t>
      </w:r>
    </w:p>
    <w:p>
      <w:pPr>
        <w:spacing w:after="60" w:line="320" w:lineRule="exact"/>
        <w:ind w:left="425" w:hanging="312"/>
        <w:jc w:val="both"/>
      </w:pPr>
      <w:r>
        <w:rPr>
          <w:rFonts w:ascii="Times New Roman" w:hAnsi="Times New Roman" w:eastAsia="Times New Roman"/>
        </w:rPr>
        <w:t>4.  Chọn Download as BPMN 2.0 file để lưu lại bản chỉnh sửa; có thể xuất thêm SVG để chèn vào báo cáo.</w:t>
      </w:r>
    </w:p>
    <w:p>
      <w:pPr>
        <w:pStyle w:val="Heading1"/>
      </w:pPr>
      <w:r>
        <w:t>Tài liệu tham khảo nội bộ</w:t>
      </w:r>
    </w:p>
    <w:p>
      <w:pPr>
        <w:spacing w:after="60" w:line="320" w:lineRule="exact"/>
        <w:ind w:left="425" w:hanging="312"/>
        <w:jc w:val="both"/>
      </w:pPr>
      <w:r>
        <w:rPr>
          <w:rFonts w:ascii="Times New Roman" w:hAnsi="Times New Roman" w:eastAsia="Times New Roman"/>
        </w:rPr>
        <w:t>•  Tài liệu môn học IE203, Chương 3 - BPMN và Chương 5 - Phân tích quy trình.</w:t>
      </w:r>
    </w:p>
    <w:p>
      <w:pPr>
        <w:spacing w:after="60" w:line="320" w:lineRule="exact"/>
        <w:ind w:left="425" w:hanging="312"/>
        <w:jc w:val="both"/>
      </w:pPr>
      <w:r>
        <w:rPr>
          <w:rFonts w:ascii="Times New Roman" w:hAnsi="Times New Roman" w:eastAsia="Times New Roman"/>
        </w:rPr>
        <w:t>•  Đồ án tham khảo Tiki Logistics - cấu trúc phương pháp, VA/BVA/NVA, lãng phí, stakeholder và định lượng.</w:t>
      </w:r>
    </w:p>
    <w:p>
      <w:pPr>
        <w:spacing w:after="60" w:line="320" w:lineRule="exact"/>
        <w:ind w:left="425" w:hanging="312"/>
        <w:jc w:val="both"/>
      </w:pPr>
      <w:r>
        <w:rPr>
          <w:rFonts w:ascii="Times New Roman" w:hAnsi="Times New Roman" w:eastAsia="Times New Roman"/>
        </w:rPr>
        <w:t>•  Đồ án tham khảo CellphoneS - cấu trúc mô tả quy trình mua hàng online, BPMN, định tính và định lượng.</w:t>
      </w:r>
    </w:p>
    <w:sectPr w:rsidR="00FC693F" w:rsidRPr="0006063C" w:rsidSect="00034616">
      <w:headerReference w:type="default" r:id="rId14"/>
      <w:footerReference w:type="default" r:id="rId15"/>
      <w:pgSz w:w="11906" w:h="16838"/>
      <w:pgMar w:top="1191" w:right="1191" w:bottom="1191"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Times New Roman" w:hAnsi="Times New Roman" w:eastAsia="Times New Roman"/>
        <w:color w:val="666666"/>
        <w:sz w:val="18"/>
      </w:rPr>
      <w:t xml:space="preserve">Trang </w:t>
    </w:r>
    <w:fldSimple w:instr="PAGE">
      <w:r>
        <w:rPr>
          <w:rFonts w:ascii="Times New Roman" w:hAnsi="Times New Roman"/>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Times New Roman" w:hAnsi="Times New Roman" w:eastAsia="Times New Roman"/>
        <w:color w:val="666666"/>
        <w:sz w:val="18"/>
      </w:rPr>
      <w:t xml:space="preserve">Trang </w:t>
    </w:r>
    <w:fldSimple w:instr="PAGE">
      <w:r>
        <w:rPr>
          <w:rFonts w:ascii="Times New Roman" w:hAnsi="Times New Roman"/>
          <w:sz w:val="18"/>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Times New Roman" w:hAnsi="Times New Roman" w:eastAsia="Times New Roman"/>
        <w:color w:val="666666"/>
        <w:sz w:val="18"/>
      </w:rPr>
      <w:t xml:space="preserve">Trang </w:t>
    </w:r>
    <w:fldSimple w:instr="PAGE">
      <w:r>
        <w:rPr>
          <w:rFonts w:ascii="Times New Roman" w:hAnsi="Times New Roman"/>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Times New Roman" w:hAnsi="Times New Roman" w:eastAsia="Times New Roman"/>
        <w:color w:val="666666"/>
        <w:sz w:val="18"/>
      </w:rPr>
      <w:t>IE203 - HỆ THỐNG QUẢN TRỊ QUY TRÌNH NGHIỆP VỤ</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Times New Roman" w:hAnsi="Times New Roman" w:eastAsia="Times New Roman"/>
        <w:color w:val="666666"/>
        <w:sz w:val="18"/>
      </w:rPr>
      <w:t>IE203 - HỆ THỐNG QUẢN TRỊ QUY TRÌNH NGHIỆP VỤ</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Times New Roman" w:hAnsi="Times New Roman" w:eastAsia="Times New Roman"/>
        <w:color w:val="666666"/>
        <w:sz w:val="18"/>
      </w:rPr>
      <w:t>IE203 - HỆ THỐNG QUẢN TRỊ QUY TRÌNH NGHIỆP VỤ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jc w:val="both"/>
    </w:pPr>
    <w:rPr>
      <w:rFonts w:ascii="Times New Roman" w:hAnsi="Times New Roman"/>
      <w:color w:val="1F1F1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2F75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3" w:lineRule="auto"/>
      <w:ind w:left="425" w:hanging="198"/>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3" w:lineRule="auto"/>
      <w:ind w:left="425" w:hanging="198"/>
      <w:contextualSpacing/>
    </w:pPr>
    <w:rPr>
      <w:rFonts w:ascii="Times New Roman" w:hAnsi="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160"/>
      <w:jc w:val="center"/>
    </w:pPr>
    <w:rPr>
      <w:rFonts w:ascii="Times New Roman" w:hAnsi="Times New Roman"/>
      <w:b/>
      <w:bCs/>
      <w:i/>
      <w:color w:val="1F1F1F"/>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Quy trình 6 - Giao hàng tận nơi &amp; Xác nhận</dc:title>
  <dc:subject>BPMN 2.0 và phân tích quy trình</dc:subject>
  <dc:creator>Nhóm thực hiện đồ án</dc:creator>
  <cp:keywords>BPMN, giao hàng tận nơi, xác nhận, POD, COD, process analysis</cp:keywords>
  <dc:description>generated by python-docx</dc:description>
  <cp:lastModifiedBy/>
  <cp:revision>1</cp:revision>
  <dcterms:created xsi:type="dcterms:W3CDTF">2013-12-23T23:15:00Z</dcterms:created>
  <dcterms:modified xsi:type="dcterms:W3CDTF">2013-12-23T23:15:00Z</dcterms:modified>
  <cp:category/>
</cp:coreProperties>
</file>