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jc w:val="left"/>
      </w:pPr>
      <w:r>
        <w:rPr>
          <w:rFonts w:ascii="Times New Roman" w:hAnsi="Times New Roman"/>
          <w:b/>
          <w:i w:val="0"/>
          <w:color w:val="000000"/>
          <w:sz w:val="30"/>
        </w:rPr>
        <w:t>1. Mô tả quy trình</w:t>
      </w:r>
    </w:p>
    <w:p>
      <w:pPr>
        <w:keepNext/>
        <w:spacing w:before="200" w:after="80"/>
        <w:jc w:val="left"/>
      </w:pPr>
      <w:r>
        <w:rPr>
          <w:rFonts w:ascii="Times New Roman" w:hAnsi="Times New Roman"/>
          <w:b/>
          <w:i w:val="0"/>
          <w:color w:val="000000"/>
          <w:sz w:val="22"/>
        </w:rPr>
        <w:t>Bảng 1.1: Thông tin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Thuộc tính</w:t>
            </w:r>
          </w:p>
        </w:tc>
        <w:tc>
          <w:tcPr>
            <w:tcW w:type="dxa" w:w="453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Thông tin chi tiết</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quản lý và lựa chọn đối tác cung ứng phương tiện vận tải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chủ quản và các bên tham gia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Bộ phận Quản lý đối tác và Mua sắm; Phối hợp: Bộ phận Khai thác vận tải, Bộ phận Pháp chế và Kiểm soát tuân thủ, Cấp quản lý phê duyệt; Bên ngoài: Đơn vị cung ứng phương tiện vận tải</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Sự kiện bắt đầu</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phát tín hiệu cảnh báo thiếu hụt tải trọng hoặc phát sinh nhu cầu mở rộng tuyến vận chuyển mới.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tượng khách hàng của quy trình</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 Khách hàng nội bộ trực tiếp: Bộ phận Khai thác vận tải (tiếp nhận năng lực phương tiện bổ sung từ quy trình để điều phối và chia chọn trên toàn mạng lưới chuyển phát).</w:t>
              <w:br/>
              <w:t>• Khách hàng thụ hưởng cuối cùng: Khách hàng sử dụng dịch vụ bưu chính chuyển phát của Viettel Post (hưởng lợi từ năng lực vận tải mở rộng, bảo đảm cam kết thời gian toàn trình và an toàn bưu gửi).</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Mục tiêu của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Tuyển chọn đối tác vận tải đạt chuẩn kỹ thuật, tối ưu chi phí (tiết kiệm 15%-22% OPEX), kiểm soát rủi ro pháp lý, hoàn tất chu kỳ trong 6,44 ngày (PCE = 44,08%).</w:t>
            </w:r>
          </w:p>
        </w:tc>
      </w:tr>
    </w:tbl>
    <w:p>
      <w:pPr>
        <w:pStyle w:val="Heading2"/>
        <w:keepNext/>
        <w:spacing w:before="220" w:after="80"/>
        <w:jc w:val="left"/>
      </w:pPr>
      <w:r>
        <w:rPr>
          <w:rFonts w:ascii="Times New Roman" w:hAnsi="Times New Roman"/>
          <w:b/>
          <w:i w:val="0"/>
          <w:color w:val="000000"/>
          <w:sz w:val="27"/>
        </w:rPr>
        <w:t>1.1. Kiến trúc quy trình</w:t>
      </w:r>
    </w:p>
    <w:p>
      <w:pPr>
        <w:spacing w:before="0" w:after="120" w:line="300" w:lineRule="auto"/>
        <w:jc w:val="both"/>
      </w:pPr>
      <w:r>
        <w:rPr>
          <w:rFonts w:ascii="Times New Roman" w:hAnsi="Times New Roman"/>
          <w:color w:val="000000"/>
          <w:sz w:val="24"/>
        </w:rPr>
        <w:t>Sơ đồ kiến trúc quy trình thể hiện tuần tự các khối công đoạn chính trong quy trình và vị trí trong chuỗi cung ứng / chuỗi giá trị của doanh nghiệp:</w:t>
      </w:r>
    </w:p>
    <w:p>
      <w:pPr>
        <w:keepNext/>
        <w:spacing w:before="160" w:after="40"/>
        <w:jc w:val="center"/>
      </w:pPr>
      <w:r>
        <w:drawing>
          <wp:inline xmlns:a="http://schemas.openxmlformats.org/drawingml/2006/main" xmlns:pic="http://schemas.openxmlformats.org/drawingml/2006/picture">
            <wp:extent cx="5669280" cy="720671"/>
            <wp:docPr id="1" name="Picture 1"/>
            <wp:cNvGraphicFramePr>
              <a:graphicFrameLocks noChangeAspect="1"/>
            </wp:cNvGraphicFramePr>
            <a:graphic>
              <a:graphicData uri="http://schemas.openxmlformats.org/drawingml/2006/picture">
                <pic:pic>
                  <pic:nvPicPr>
                    <pic:cNvPr id="0" name="hinh1_chevron.png"/>
                    <pic:cNvPicPr/>
                  </pic:nvPicPr>
                  <pic:blipFill>
                    <a:blip r:embed="rId9"/>
                    <a:stretch>
                      <a:fillRect/>
                    </a:stretch>
                  </pic:blipFill>
                  <pic:spPr>
                    <a:xfrm>
                      <a:off x="0" y="0"/>
                      <a:ext cx="5669280" cy="720671"/>
                    </a:xfrm>
                    <a:prstGeom prst="rect"/>
                  </pic:spPr>
                </pic:pic>
              </a:graphicData>
            </a:graphic>
          </wp:inline>
        </w:drawing>
      </w:r>
    </w:p>
    <w:p>
      <w:pPr>
        <w:spacing w:before="80" w:after="240"/>
        <w:jc w:val="center"/>
      </w:pPr>
      <w:r>
        <w:rPr>
          <w:rFonts w:ascii="Times New Roman" w:hAnsi="Times New Roman"/>
          <w:b/>
          <w:i w:val="0"/>
          <w:color w:val="000000"/>
          <w:sz w:val="22"/>
        </w:rPr>
        <w:t>Hình 1.1: Sơ đồ kiến trúc quy trình</w:t>
      </w:r>
    </w:p>
    <w:p>
      <w:pPr>
        <w:pStyle w:val="Heading2"/>
        <w:keepNext/>
        <w:spacing w:before="220" w:after="80"/>
        <w:jc w:val="left"/>
      </w:pPr>
      <w:r>
        <w:rPr>
          <w:rFonts w:ascii="Times New Roman" w:hAnsi="Times New Roman"/>
          <w:b/>
          <w:i w:val="0"/>
          <w:color w:val="000000"/>
          <w:sz w:val="27"/>
        </w:rPr>
        <w:t>1.2. Các bước thực hiện</w:t>
      </w:r>
    </w:p>
    <w:p>
      <w:pPr>
        <w:keepNext/>
        <w:spacing w:before="200" w:after="80"/>
        <w:jc w:val="left"/>
      </w:pPr>
      <w:r>
        <w:rPr>
          <w:rFonts w:ascii="Times New Roman" w:hAnsi="Times New Roman"/>
          <w:b/>
          <w:i w:val="0"/>
          <w:color w:val="000000"/>
          <w:sz w:val="22"/>
        </w:rPr>
        <w:t>Bảng 1.2: Các bước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Bước</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Tên bước</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nhân thực hiện</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Mô tả chi tiết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năng lực đội xe nội bộ và xác định yêu cầu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tiêu chuẩn và phát hành thông báo mời hợp tác</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Nộp hồ sơ đăng ký hợp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và kiểm tra hồ sơ sơ bộ</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Thẩm định chuyên sâu phương tiện và GPS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độ kín nước (Light Leak, Water Spray 10p), Seal 2 lớp và kiểm tra kết nối Camera, GPS theo QCVN 31:2014/BGTVT [12].</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Lựa chọn cơ chế và thương lượng điều khoản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Xem xét và phê duyệt phương án hợp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thiện và ký kết hợp đồng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Kích hoạt thông tin đối tác trên hệ thống TMS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r>
    </w:tbl>
    <w:p>
      <w:pPr>
        <w:pStyle w:val="Heading2"/>
        <w:keepNext/>
        <w:spacing w:before="220" w:after="80"/>
        <w:jc w:val="left"/>
      </w:pPr>
      <w:r>
        <w:rPr>
          <w:rFonts w:ascii="Times New Roman" w:hAnsi="Times New Roman"/>
          <w:b/>
          <w:i w:val="0"/>
          <w:color w:val="000000"/>
          <w:sz w:val="27"/>
        </w:rPr>
        <w:t>1.3. Các kết quả có thể xảy ra</w:t>
      </w:r>
    </w:p>
    <w:p>
      <w:pPr>
        <w:keepNext/>
        <w:spacing w:before="200" w:after="80"/>
        <w:jc w:val="left"/>
      </w:pPr>
      <w:r>
        <w:rPr>
          <w:rFonts w:ascii="Times New Roman" w:hAnsi="Times New Roman"/>
          <w:b/>
          <w:i w:val="0"/>
          <w:color w:val="000000"/>
          <w:sz w:val="22"/>
        </w:rPr>
        <w:t>Bảng 1.3: Các kết quả có thể xảy ra</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Nhóm kết quả</w:t>
            </w:r>
          </w:p>
        </w:tc>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Kết quả cụ thể</w:t>
            </w:r>
          </w:p>
        </w:tc>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Mô tả chi tiết và kịch bản kết thúc quy trình</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được kích hoạt trên hệ thống TMS</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đáp ứng đầy đủ năng lực kỹ thuật, pháp lý, đàm phán cước thành công, hoàn tất ký kết hợp đồng và được cấp mã Vendor ID sẵn sàng nhận lệnh điều phối.</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Lưu hồ sơ đối tác tiềm năng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đạt yêu cầu sơ bộ nhưng chưa phát sinh nhu cầu điều phối ngay, được lưu vào cơ sở dữ liệu đối tác tiềm năng để ưu tiên huy động khi sản lượng tăng đột biến.</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bị từ chối sơ bộ hoặc kỹ thuật không đạt</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không đáp ứng điều kiện pháp lý tối thiểu theo Nghị định 10/2020/NĐ-CP hoặc thùng xe không đảm bảo an toàn, thiết bị GPS không hợp chuẩn QCVN 31:2014/BGTVT.</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Đàm phán bất thành - Đóng hồ sơ</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Hai bên không đạt được thỏa thuận về khung giá cước, chính sách bù trừ trượt giá dầu DO hoặc các điều khoản cam kết mức dịch vụ (SLA).</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Tờ trình bị từ chối phê duyệt</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có thẩm quyền bác bỏ phương án hợp tác do không phù hợp với định hướng tài chính, hiệu quả kinh tế thấp hoặc phát sinh rủi ro tuân thủ.</w:t>
            </w:r>
          </w:p>
        </w:tc>
      </w:tr>
    </w:tbl>
    <w:p>
      <w:pPr>
        <w:pStyle w:val="Heading1"/>
        <w:keepNext/>
        <w:spacing w:before="280" w:after="120"/>
        <w:jc w:val="left"/>
      </w:pPr>
      <w:r>
        <w:rPr>
          <w:rFonts w:ascii="Times New Roman" w:hAnsi="Times New Roman"/>
          <w:b/>
          <w:i w:val="0"/>
          <w:color w:val="000000"/>
          <w:sz w:val="30"/>
        </w:rPr>
        <w:t>2. Phương pháp thực hiện</w:t>
      </w:r>
    </w:p>
    <w:p>
      <w:pPr>
        <w:pStyle w:val="Heading2"/>
        <w:keepNext/>
        <w:spacing w:before="220" w:after="80"/>
        <w:jc w:val="left"/>
      </w:pPr>
      <w:r>
        <w:rPr>
          <w:rFonts w:ascii="Times New Roman" w:hAnsi="Times New Roman"/>
          <w:b/>
          <w:i w:val="0"/>
          <w:color w:val="000000"/>
          <w:sz w:val="27"/>
        </w:rPr>
        <w:t>2.1. Dựa trên bằng chứng</w:t>
      </w:r>
    </w:p>
    <w:p>
      <w:pPr>
        <w:keepNext/>
        <w:spacing w:before="200" w:after="80"/>
        <w:jc w:val="left"/>
      </w:pPr>
      <w:r>
        <w:rPr>
          <w:rFonts w:ascii="Times New Roman" w:hAnsi="Times New Roman"/>
          <w:b/>
          <w:i w:val="0"/>
          <w:color w:val="000000"/>
          <w:sz w:val="22"/>
        </w:rPr>
        <w:t>Bảng 2.1: Danh mục tài liệu và minh chứng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Mã minh chứng</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Tên tài liệu / Văn bản</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Loại tài liệu</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Cơ quan / Đơn vị ban hành</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Mục đích sử dụng trong quy trình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Sơ đồ cơ cấu tổ chức và ma trận phân công nhiệm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nội bộ</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Công ty Cổ phần Bưu chính Viettel</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thẩm quyền và trách nhiệm của 5 nhóm tác nhân trong quy trình.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điều phối vận tải và làm việc định kỳ</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Tài liệu nội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Trung tâm Khai thác Vận tải Viettel Post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Lập kế hoạch phân bổ ca kíp, thẩm định thực địa và thời hạn xử lý hồ sơ.</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Sổ tay thẩm định kỹ thuật phương tiện và checklist kiểm định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chuẩn kỹ thuật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Phòng Kỹ thuật &amp; Mua sắm (QĐ 218/QĐ-VTP)</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chuẩn kiểm định thùng kín/lạnh (Light Leak, Water Spray), Camera và GPS theo QCVN 31:2014/BGTVT [12].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biểu mẫu chuẩn nghiệp vụ (BM-01 đến BM-04)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Biểu mẫu ban hành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Công ty Bưu chính Viettel</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dữ liệu, lập tờ trình và xác lập hợp đồng nguyên tắc vận tải.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hồ sơ pháp lý và điều kiện kinh doanh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Văn bản quy phạm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Giao thông Vận tải / Chính phủ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Căn cứ kiểm soát GPKD, Camera hành trình (NĐ 10/2020/NĐ-CP [8], NĐ 41/2024/NĐ-CP [9], NĐ 47/2022/NĐ-CP [11]) và Bảo hiểm TNDS (NĐ 67/2023/NĐ-CP [10]).</w:t>
            </w:r>
          </w:p>
        </w:tc>
      </w:tr>
    </w:tbl>
    <w:p>
      <w:pPr>
        <w:pStyle w:val="Heading3"/>
        <w:keepNext/>
        <w:spacing w:before="160" w:after="60"/>
        <w:jc w:val="left"/>
      </w:pPr>
      <w:r>
        <w:rPr>
          <w:rFonts w:ascii="Times New Roman" w:hAnsi="Times New Roman"/>
          <w:b/>
          <w:i w:val="0"/>
          <w:color w:val="000000"/>
          <w:sz w:val="25"/>
        </w:rPr>
        <w:t>2.1.1. Sơ đồ tổ chức</w:t>
      </w:r>
    </w:p>
    <w:p>
      <w:pPr>
        <w:spacing w:before="0" w:after="120" w:line="300" w:lineRule="auto"/>
        <w:jc w:val="both"/>
      </w:pPr>
      <w:r>
        <w:rPr>
          <w:rFonts w:ascii="Times New Roman" w:hAnsi="Times New Roman"/>
          <w:color w:val="000000"/>
          <w:sz w:val="24"/>
        </w:rPr>
        <w:t>Sơ đồ cơ cấu tổ chức phân cấp các phòng ban, bộ phận và vị trí chức danh trực tiếp tham gia vận hành quy trình.</w:t>
      </w:r>
    </w:p>
    <w:p>
      <w:pPr>
        <w:keepNext/>
        <w:spacing w:before="160" w:after="40"/>
        <w:jc w:val="center"/>
      </w:pPr>
      <w:r>
        <w:drawing>
          <wp:inline xmlns:a="http://schemas.openxmlformats.org/drawingml/2006/main" xmlns:pic="http://schemas.openxmlformats.org/drawingml/2006/picture">
            <wp:extent cx="5669280" cy="2040941"/>
            <wp:docPr id="2" name="Picture 2"/>
            <wp:cNvGraphicFramePr>
              <a:graphicFrameLocks noChangeAspect="1"/>
            </wp:cNvGraphicFramePr>
            <a:graphic>
              <a:graphicData uri="http://schemas.openxmlformats.org/drawingml/2006/picture">
                <pic:pic>
                  <pic:nvPicPr>
                    <pic:cNvPr id="0" name="hinh3_sodotrochuc.png"/>
                    <pic:cNvPicPr/>
                  </pic:nvPicPr>
                  <pic:blipFill>
                    <a:blip r:embed="rId10"/>
                    <a:stretch>
                      <a:fillRect/>
                    </a:stretch>
                  </pic:blipFill>
                  <pic:spPr>
                    <a:xfrm>
                      <a:off x="0" y="0"/>
                      <a:ext cx="5669280" cy="2040941"/>
                    </a:xfrm>
                    <a:prstGeom prst="rect"/>
                  </pic:spPr>
                </pic:pic>
              </a:graphicData>
            </a:graphic>
          </wp:inline>
        </w:drawing>
      </w:r>
    </w:p>
    <w:p>
      <w:pPr>
        <w:spacing w:before="80" w:after="240"/>
        <w:jc w:val="center"/>
      </w:pPr>
      <w:r>
        <w:rPr>
          <w:rFonts w:ascii="Times New Roman" w:hAnsi="Times New Roman"/>
          <w:b/>
          <w:i w:val="0"/>
          <w:color w:val="000000"/>
          <w:sz w:val="22"/>
        </w:rPr>
        <w:t>Hình 2.1: Sơ đồ tổ chức bộ phận thực hiện quy trình tại Viettel Post</w:t>
      </w:r>
    </w:p>
    <w:p>
      <w:pPr>
        <w:pStyle w:val="Heading3"/>
        <w:keepNext/>
        <w:spacing w:before="160" w:after="60"/>
        <w:jc w:val="left"/>
      </w:pPr>
      <w:r>
        <w:rPr>
          <w:rFonts w:ascii="Times New Roman" w:hAnsi="Times New Roman"/>
          <w:b/>
          <w:i w:val="0"/>
          <w:color w:val="000000"/>
          <w:sz w:val="25"/>
        </w:rPr>
        <w:t>2.1.2. Kế hoạch làm việc</w:t>
      </w:r>
    </w:p>
    <w:p>
      <w:pPr>
        <w:spacing w:before="0" w:after="120" w:line="300" w:lineRule="auto"/>
        <w:jc w:val="both"/>
      </w:pPr>
      <w:r>
        <w:rPr>
          <w:rFonts w:ascii="Times New Roman" w:hAnsi="Times New Roman"/>
          <w:color w:val="000000"/>
          <w:sz w:val="24"/>
        </w:rPr>
        <w:t>Kế hoạch làm việc, lịch phân công ca kíp và bảng phân bổ nhiệm vụ thực tế của nhân sự trong quy trình.</w:t>
      </w:r>
    </w:p>
    <w:p>
      <w:pPr>
        <w:keepNext/>
        <w:spacing w:before="160" w:after="40"/>
        <w:jc w:val="center"/>
      </w:pPr>
      <w:r>
        <w:drawing>
          <wp:inline xmlns:a="http://schemas.openxmlformats.org/drawingml/2006/main" xmlns:pic="http://schemas.openxmlformats.org/drawingml/2006/picture">
            <wp:extent cx="5669280" cy="1958479"/>
            <wp:docPr id="3" name="Picture 3"/>
            <wp:cNvGraphicFramePr>
              <a:graphicFrameLocks noChangeAspect="1"/>
            </wp:cNvGraphicFramePr>
            <a:graphic>
              <a:graphicData uri="http://schemas.openxmlformats.org/drawingml/2006/picture">
                <pic:pic>
                  <pic:nvPicPr>
                    <pic:cNvPr id="0" name="hinh4_kehoachlamviec.png"/>
                    <pic:cNvPicPr/>
                  </pic:nvPicPr>
                  <pic:blipFill>
                    <a:blip r:embed="rId11"/>
                    <a:stretch>
                      <a:fillRect/>
                    </a:stretch>
                  </pic:blipFill>
                  <pic:spPr>
                    <a:xfrm>
                      <a:off x="0" y="0"/>
                      <a:ext cx="5669280" cy="1958479"/>
                    </a:xfrm>
                    <a:prstGeom prst="rect"/>
                  </pic:spPr>
                </pic:pic>
              </a:graphicData>
            </a:graphic>
          </wp:inline>
        </w:drawing>
      </w:r>
    </w:p>
    <w:p>
      <w:pPr>
        <w:spacing w:before="80" w:after="240"/>
        <w:jc w:val="center"/>
      </w:pPr>
      <w:r>
        <w:rPr>
          <w:rFonts w:ascii="Times New Roman" w:hAnsi="Times New Roman"/>
          <w:b/>
          <w:i w:val="0"/>
          <w:color w:val="000000"/>
          <w:sz w:val="22"/>
        </w:rPr>
        <w:t>Hình 2.2: Kế hoạch làm việc và phân công nhiệm vụ trong quy trình</w:t>
      </w:r>
    </w:p>
    <w:p>
      <w:pPr>
        <w:pStyle w:val="Heading3"/>
        <w:keepNext/>
        <w:spacing w:before="160" w:after="60"/>
        <w:jc w:val="left"/>
      </w:pPr>
      <w:r>
        <w:rPr>
          <w:rFonts w:ascii="Times New Roman" w:hAnsi="Times New Roman"/>
          <w:b/>
          <w:i w:val="0"/>
          <w:color w:val="000000"/>
          <w:sz w:val="25"/>
        </w:rPr>
        <w:t>2.1.3. Thuật ngữ và sổ tay</w:t>
      </w:r>
    </w:p>
    <w:p>
      <w:pPr>
        <w:spacing w:before="0" w:after="120" w:line="300" w:lineRule="auto"/>
        <w:jc w:val="both"/>
      </w:pPr>
      <w:r>
        <w:rPr>
          <w:rFonts w:ascii="Times New Roman" w:hAnsi="Times New Roman"/>
          <w:color w:val="000000"/>
          <w:sz w:val="24"/>
        </w:rPr>
        <w:t>Hệ thống thuật ngữ chuyên môn và các quy chuẩn nghiệp vụ được chuẩn hóa nhằm đảm bảo tính thống nhất trong quá trình vận hành, thẩm định và đánh giá hiệu năng quy trình. Chi tiết định nghĩa các thuật ngữ kỹ thuật, chỉ số đo lường hiệu suất và khung phân tích lãng phí được tổng hợp tại Bảng 2.2, gắn liền với các tài liệu quy chuẩn và sổ tay nghiệp vụ đã được liệt kê tại Bảng 2.1.</w:t>
      </w:r>
    </w:p>
    <w:p>
      <w:pPr>
        <w:keepNext/>
        <w:spacing w:before="200" w:after="80"/>
        <w:jc w:val="left"/>
      </w:pPr>
      <w:r>
        <w:rPr>
          <w:rFonts w:ascii="Times New Roman" w:hAnsi="Times New Roman"/>
          <w:b/>
          <w:i w:val="0"/>
          <w:color w:val="000000"/>
          <w:sz w:val="22"/>
        </w:rPr>
        <w:t>Bảng 2.2: Thuật ngữ và sổ tay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Thuật ngữ</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Tên đầy đủ tiếng Anh</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Giải thích ý nghĩa nghiệp vụ</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Tài liệu quy chuẩn / Sổ tay áp dụng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Move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Transportation &amp; Motion Waste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do di chuyển hồ sơ vật lý qua nhiều phòng ban và đi lại kiểm tra thực địa phân tán.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Hold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Waiting &amp; Inventory Waste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do hồ sơ tồn đọng trong hàng đợi chờ phê duyệt và thời gian chờ chuyển phát bưu chính hai chiều.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Defects &amp; Over-processing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do sai sót chứng từ, làm lại tờ trình và nhập liệu thông tin trùng lặp giữa các đơn vị.</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TMS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Transport Management System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quản lý vận tải tích hợp giám sát hành trình và điều phối đội xe.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Sổ tay vận hành hệ thống TMS Viettel Post [7]</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Vendor ID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Vendor Identification Number</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Mã định danh duy nhất của đối tác cung ứng phương tiện trên hệ thống thông tin.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chế Quản lý Đối tác Viettel Post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SLA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Service Level Agreement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Cam kết mức độ dịch vụ về tỷ lệ đúng giờ, an toàn hàng hóa và phối hợp vận hành.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nguyên tắc vận tải BM-04</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GPS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Global Positioning System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giám sát hành trình phương tiện trực tuyến theo quy chuẩn Bộ GTVT.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QCVN 31:2014/BGTVT [12]</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Processing Time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thực tế nhân sự thao tác xử lý nghiệp vụ (22,70 giờ).</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Waiting Time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xếp hàng hoặc chuyển phát bưu chính (28,80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Cycle Time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chu kỳ toàn trình thực tế: CT = PT + WT (51,50 giờ = 6,44 ngày).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Process Cycle Efficiency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Hiệu suất chu kỳ quy trình: PCE = (PT / CT) x 100% (44,08%).</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FTR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First Time Right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yêu cầu ngay lần đầu tiên không cần bổ sung (70,00%).</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Chỉ số chất lượng Lean Six Sigma</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Theoretical Cycle Time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 kỳ lý thuyết trong điều kiện lý tưởng không có chờ đợi (22,00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CRR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Cycle Time Reduction Ratio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Tiềm năng rút ngắn thời gian chu kỳ: CRR = (CT - TCT) / CT (57,28%).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Value-Added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trực tiếp tạo ra giá trị mà khách hàng sẵn sàng chi trả.</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Business Value-Added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cần thiết cho doanh nghiệp để quản trị rủi ro và tuân thủ pháp luật.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Non-Value-Added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lãng phí thuần túy phát sinh do sai lỗi và chậm trễ cần loại bỏ.</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e-Contract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Electronic Contract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Nền tảng hợp đồng điện tử ký số từ xa loại bỏ 100% chuyển phát bưu chính.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Luật Giao dịch điện tử số 20/2023/QH15 [13]</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GPKD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 Business License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Giấy phép kinh doanh vận tải bằng xe ô tô bắt buộc đối với phương tiện chở hàng.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Nghị định 10/2020/NĐ-CP [8], NĐ 41/2024/NĐ-CP [9] &amp; NĐ 47/2022/NĐ-CP [11]</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hiểm TNDS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Compulsory Civil Liability Insurance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hiểm bắt buộc trách nhiệm dân sự của chủ xe cơ giới đối với bên thứ ba.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Nghị định 67/2023/NĐ-CP ngày 06/09/2023 [10]</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Đăng kiểm xe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Vehicle Inspection Certificate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Giấy chứng nhận an toàn kỹ thuật và bảo vệ môi trường phương tiện cơ giới.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tư số 16/2021/TT-BGTVT [14]</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Poka-Yoke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Mistake Proofing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chống sai lỗi tự động trên biểu mẫu số hóa ngăn chặn nộp thiếu chứng từ.</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sản xuất tinh gọn Lean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SSOT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Single Source of Truth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Kho dữ liệu đối tác dùng chung duy nhất loại bỏ phân mảnh thông tin nội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Kiến trúc dữ liệu doanh nghiệp</w:t>
            </w:r>
          </w:p>
        </w:tc>
      </w:tr>
    </w:tbl>
    <w:p>
      <w:pPr>
        <w:pStyle w:val="Heading3"/>
        <w:keepNext/>
        <w:spacing w:before="160" w:after="60"/>
        <w:jc w:val="left"/>
      </w:pPr>
      <w:r>
        <w:rPr>
          <w:rFonts w:ascii="Times New Roman" w:hAnsi="Times New Roman"/>
          <w:b/>
          <w:i w:val="0"/>
          <w:color w:val="000000"/>
          <w:sz w:val="25"/>
        </w:rPr>
        <w:t>2.1.4. Biểu mẫu nghiệp vụ</w:t>
      </w:r>
    </w:p>
    <w:p>
      <w:pPr>
        <w:spacing w:before="0" w:after="120" w:line="300" w:lineRule="auto"/>
        <w:jc w:val="both"/>
      </w:pPr>
      <w:r>
        <w:rPr>
          <w:rFonts w:ascii="Times New Roman" w:hAnsi="Times New Roman"/>
          <w:color w:val="000000"/>
          <w:sz w:val="24"/>
        </w:rPr>
        <w:t>Trong quá trình vận hành quy trình lựa chọn và quản lý đối tác vận tải, hệ thống biểu mẫu nghiệp vụ đóng vai trò là phương tiện thu thập dữ liệu, kiểm soát tính tuân thủ và xác lập căn cứ pháp lý giữa các bên. Danh mục các biểu mẫu chuẩn hóa (từ BM-01 đến BM-04) cùng mục đích sử dụng chi tiết tại từng bước tác nghiệp được dẫn chiếu trực tiếp theo Danh mục tài liệu và minh chứng quy trình tại Bảng 2.1.</w:t>
      </w:r>
    </w:p>
    <w:p>
      <w:pPr>
        <w:pStyle w:val="Heading2"/>
        <w:keepNext/>
        <w:spacing w:before="220" w:after="80"/>
        <w:jc w:val="left"/>
      </w:pPr>
      <w:r>
        <w:rPr>
          <w:rFonts w:ascii="Times New Roman" w:hAnsi="Times New Roman"/>
          <w:b/>
          <w:i w:val="0"/>
          <w:color w:val="000000"/>
          <w:sz w:val="27"/>
        </w:rPr>
        <w:t>2.2. Phỏng vấn</w:t>
      </w:r>
    </w:p>
    <w:p>
      <w:pPr>
        <w:spacing w:before="0" w:after="120" w:line="300" w:lineRule="auto"/>
        <w:jc w:val="both"/>
      </w:pPr>
      <w:r>
        <w:rPr>
          <w:rFonts w:ascii="Times New Roman" w:hAnsi="Times New Roman"/>
          <w:color w:val="000000"/>
          <w:sz w:val="24"/>
        </w:rPr>
        <w:t>Theo phương pháp luận khai phá quy trình của Dumas et al. (2018, Chương 5), phương pháp phỏng vấn là công cụ nền tảng nhằm thu thập tri thức nghiệp vụ thực tế, phát hiện các quy tắc xử lý ngầm định, các trường hợp ngoại lệ và sự cố vận hành không được ghi chép trong tài liệu tĩnh. Để khắc phục hiện tượng tri thức phân mảnh và thiên kiến con đường màu hồng, nhóm phân tích tiến hành phỏng vấn đa chiều đối với toàn bộ 5 đối tượng tác nhân tham gia trực tiếp vào quy trình quản lý và lựa chọn đối tác cung ứng phương tiện vận tải tại Tổng Công ty Cổ phần Bưu chính Viettel. Bảng 2.3 thể hiện ma trận đối chiếu 1:1 giữa các tác nhân trong mô tả quy trình, các phân làn tương ứng trên sơ đồ BPMN 2.0 và danh tính chức danh đối tượng phỏng vấn thực tế.</w:t>
      </w:r>
    </w:p>
    <w:p>
      <w:pPr>
        <w:keepNext/>
        <w:spacing w:before="200" w:after="80"/>
        <w:jc w:val="left"/>
      </w:pPr>
      <w:r>
        <w:rPr>
          <w:rFonts w:ascii="Times New Roman" w:hAnsi="Times New Roman"/>
          <w:b/>
          <w:i w:val="0"/>
          <w:color w:val="000000"/>
          <w:sz w:val="22"/>
        </w:rPr>
        <w:t>Bảng 2.3: Đối chiếu actor, BPMN và đối tượng phỏng vấn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nhân trong mô tả quy trình</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Phân làn tương ứng trên BPMN</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Chức danh đối tượng phỏng vấn thực tế</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Trưởng phòng Điều hành Khai thác &amp; Chuyên viên Giám sát Đội xe</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Phó phòng Mua sắm &amp; Chuyên viên Thẩm định Đối tác Vận tải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 Tài chính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Chuyên viên Pháp chế Hợp đồng &amp; Chuyên viên Kế toán Thanh toán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Ban Giám đốc Trung tâm Vận tải / Khối Vận hành Logistics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Giám đốc Hợp tác xã Vận tải &amp; Chủ hộ kinh doanh xe tải cá nhân</w:t>
            </w:r>
          </w:p>
        </w:tc>
      </w:tr>
    </w:tbl>
    <w:p>
      <w:pPr>
        <w:pStyle w:val="Heading3"/>
        <w:keepNext/>
        <w:spacing w:before="160" w:after="60"/>
        <w:jc w:val="left"/>
      </w:pPr>
      <w:r>
        <w:rPr>
          <w:rFonts w:ascii="Times New Roman" w:hAnsi="Times New Roman"/>
          <w:b/>
          <w:i w:val="0"/>
          <w:color w:val="000000"/>
          <w:sz w:val="25"/>
        </w:rPr>
        <w:t>2.2.1. Câu hỏi định tính</w:t>
      </w:r>
    </w:p>
    <w:p>
      <w:pPr>
        <w:spacing w:before="0" w:after="120" w:line="300" w:lineRule="auto"/>
        <w:jc w:val="both"/>
      </w:pPr>
      <w:r>
        <w:rPr>
          <w:rFonts w:ascii="Times New Roman" w:hAnsi="Times New Roman"/>
          <w:color w:val="000000"/>
          <w:sz w:val="24"/>
        </w:rPr>
        <w:t>Phương pháp phỏng vấn định tính được thiết kế theo cấu trúc lưỡng tầng bao gồm 10 câu hỏi chuyên sâu (5 câu hỏi có cấu trúc và 5 câu hỏi không có cấu trúc mở) theo mã định danh QT-VTP-QL-01 đến QT-VTP-QL-10. Bộ câu hỏi có cấu trúc đóng vai trò kiểm chứng định lượng các giả thuyết vận hành, cơ chế rẽ nhánh Gateway và các tiêu chí sàng lọc hồ sơ theo nguyên tắc ma trận 8 cột chuẩn mực (Bảng 2.5). Ngược lại, bộ câu hỏi không có cấu trúc (Bảng 2.6) hướng tới việc khơi gợi những rào cản thủ tục, sự phân mảnh thông tin liên phòng ban và các đề xuất cải tiến số hóa mang tính chiến lược từ phía chuyên gia và đối tác.</w:t>
      </w:r>
    </w:p>
    <w:p>
      <w:pPr>
        <w:keepNext/>
        <w:spacing w:before="200" w:after="80"/>
        <w:jc w:val="left"/>
      </w:pPr>
      <w:r>
        <w:rPr>
          <w:rFonts w:ascii="Times New Roman" w:hAnsi="Times New Roman"/>
          <w:b/>
          <w:i w:val="0"/>
          <w:color w:val="000000"/>
          <w:sz w:val="22"/>
        </w:rPr>
        <w:t>Bảng 2.4: Danh sách câu hỏi định tính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Nội dung câu hỏi định tính</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lựa chọn đối tác cung ứng phương tiện vận tải được kích hoạt dựa trên căn cứ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sự kiện kích hoạt quy trình và vai trò cảnh báo thiếu hụt tải trọng của hệ thống TMS [7].</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Những tiêu chí pháp lý và chứng chỉ bắt buộc nào để hồ sơ xe đạt yêu cầu sơ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rõ các điều kiện sàng lọc pháp lý tối thiểu theo Nghị định 10/2020/NĐ-CP [8], NĐ 47/2022/NĐ-CP [11] và Nghị định 67/2023/NĐ-CP [10].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kiểm tra thực tế phương tiện và thiết bị giám sát hành trình GPS diễn ra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tiêu chuẩn kỹ thuật thùng kín/lạnh (Light Leak, Water Spray), niêm phong Seal và Camera, GPS theo QCVN 31:2014/BGTVT [12].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đàm phán giá cước và điều khoản hợp tác với đối tác được thực hiện theo nguyên tắc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rõ khung giá cước tham chiếu, công thức bù trừ trượt giá dầu DO: P = P0 x [(1 - a) + a x (D/D0)] và cam kết mức dịch vụ SLA.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Hợp đồng nguyên tắc vận tải được xử lý và ký kết thông qua phương thức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phương thức ký kết hợp đồng giấy truyền thống (As-Is) so với e-Contract ký số theo Luật GDĐT 2023 [13].</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gặp những rào cản hoặc khó khăn lớn nhất nào khi tham gia nộp hồ sơ hợp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phản hồi của đối tác về rào cản chứng từ, thủ tục công chứng và thời gian chờ đợi.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Những sự cố vận hành thường gặp nhất sau khi phương tiện được kích hoạt vào hệ thống là gì?</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Nhận diện rủi ro mất tín hiệu GPS, vi phạm lộ trình, từ chối nhận lệnh điều phối và vi phạm cam kết SLA.</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nghẽn lớn nhất trong việc phối hợp luân chuyển thông tin giữa các phòng ban là gì?</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bộ phận nội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Khám phá sự phân mảnh dữ liệu nội bộ và lãng phí thời gian do chuyển giao thủ công giữa các phòng ban.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lãnh đạo dựa trên những tiêu chí trọng yếu nào để phê duyệt phương án hợp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yêu cầu quản trị rủi ro, tính khả thi kinh tế và chuẩn hóa tờ trình quản trị để ra quyết định nhanh.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Ý kiến của các bên về giải pháp triển khai Cổng thông tin đối tác và Hợp đồng điện tử ký số?</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Toàn bộ 5 tác nhân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mức độ sẵn sàng và đồng thuận đối với 4 trụ cột công nghệ chuyển đổi số To-Be (Portal, e-Contract, OCR, DMN).</w:t>
            </w:r>
          </w:p>
        </w:tc>
      </w:tr>
    </w:tbl>
    <w:p>
      <w:pPr>
        <w:keepNext/>
        <w:spacing w:before="200" w:after="80"/>
        <w:jc w:val="left"/>
      </w:pPr>
      <w:r>
        <w:rPr>
          <w:rFonts w:ascii="Times New Roman" w:hAnsi="Times New Roman"/>
          <w:b/>
          <w:i w:val="0"/>
          <w:color w:val="000000"/>
          <w:sz w:val="22"/>
        </w:rPr>
        <w:t>Bảng 2.5: Ghi nhận câu trả lời cho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Câu trả lời thực tế</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Giả thuyết</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Nghi ngờ / Chưa kiểm chứng</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Minh chứng xác nhận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thác tự liên hệ tìm kiếm xe ngoài khi thiếu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tự động cảnh báo công suất và đề xuất mở thầu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Chờ phê duyệt chủ trương từ Ban Giám đốc Tổng công ty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tự động phân tích sản lượng và cảnh báo quá tải trên các tuyến trục, kích hoạt lập Phiếu yêu cầu BM-01.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khởi chạy dựa trên nhu cầu thực tế và dữ liệu công suất TMS.</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trường hợp trung tâm khai thác tự ý thuê ngoài cục bộ khi đột biến?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Nhật ký cảnh báo quá tải TMS và Phiếu yêu cầu BM-01 (Phụ lục PL-02).</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Chỉ cần Đăng ký xe và CMND/CCCD lái xe</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Đầy đủ ĐKKD, Đăng kiểm, Phù hiệu, Bảo hiểm TNDS, Camera cabin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thêm chứng chỉ ISO và báo cáo tài chính kiểm toán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Bắt buộc đủ bộ chứng từ pháp lý: GPKD, Đăng kiểm, Phù hiệu, Bảo hiểm (NĐ 67/2023) và Camera cabin (NĐ 10/2020 &amp; NĐ 47/2022).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Sàng lọc hồ sơ chặt chẽ giúp loại bỏ rủi ro pháp lý vận tải cho Viettel Post.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đối tác nộp thiếu bảo hiểm TNDS hoặc phù hiệu xe còn cao?</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Biên bản thẩm định hồ sơ sơ bộ và Checklist kiểm soát (Phụ lục PL-03).</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 kiểm tra giấy tờ đăng kiểm, không khảo sát xe</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bãi xe, test seal và kết nối GPS về hệ thống TMS</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tự quay video gửi qua ứng dụng Zalo/Viber</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thực địa thùng kín (test lọt sáng, xịt nước 10p), niêm phong seal bưu chính và kiểm tra Camera, GPS QCVN 31:2014.</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thực địa bảo đảm chất lượng phương tiện và theo dõi lộ trình 24/7.</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Chuyên viên phải di chuyển ngoại tỉnh gây tốn kém thời gian và chi phí?</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Biên bản nghiệm thu kỹ thuật phương tiện và tín hiệu GPS (Phụ lục PL-03).</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đơn giá cố định do Viettel Post ban hành</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Thương lượng linh hoạt theo giá thị trường từng chuyến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khung giá chuẩn kèm cơ chế bù trừ trượt giá dầu DO</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biểu giá chuẩn theo tuyến, thương lượng tỷ lệ chiết khấu và điều chỉnh trượt giá dầu DO: P = P0 x [(1-a) + a*(D/D0)].</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giá minh bạch giúp thu hút đối tác và kiểm soát chi phí OPEX.</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nhỏ lẻ có chấp nhận thời hạn thanh toán công nợ 30-45 ngày?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Biểu khung giá cước tham chiếu và Biên bản thương lượng (Phụ lục PL-04).</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Ký hợp đồng giấy trực tiếp tại trụ sở Viettel Post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phát hợp đồng giấy qua đường bưu điện 2 chiều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Ký kết hợp đồng điện tử (e-Contract) bằng chữ ký số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Soạn thảo hợp đồng mẫu BM-04 và chuyển phát bưu chính 2 chiều để hai bên ký, đóng dấu pháp nhân.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Phương thức chuyển phát bưu chính bảo đảm tính pháp lý nhưng tốn 16h chờ đợi.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thất lạc hợp đồng hoặc sai sót thông tin tài khoản ngân hàng?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Sổ theo dõi hợp đồng nguyên tắc chuyển phát bưu chính (Phụ lục PL-04).</w:t>
            </w:r>
          </w:p>
        </w:tc>
      </w:tr>
    </w:tbl>
    <w:p>
      <w:pPr>
        <w:keepNext/>
        <w:spacing w:before="200" w:after="80"/>
        <w:jc w:val="left"/>
      </w:pPr>
      <w:r>
        <w:rPr>
          <w:rFonts w:ascii="Times New Roman" w:hAnsi="Times New Roman"/>
          <w:b/>
          <w:i w:val="0"/>
          <w:color w:val="000000"/>
          <w:sz w:val="22"/>
        </w:rPr>
        <w:t>Bảng 2.6: Danh sách câu hỏi định tính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QT-VTP-QL-06</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gặp những rào cản hoặc khó khăn lớn nhất nào khi tham gia nộp hồ sơ hợp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Thu thập phản hồi của đối tác về rào cản chứng từ, thủ tục công chứng và thời gian chờ đợi.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Nhà xe phản ánh thủ tục công chứng giấy tờ phức tạp và thời gian chờ nhận hợp đồng giấy qua bưu điện mất 2-3 ngày. (Minh chứng: Biên bản ghi nhận ý kiến đối tác tại các HUB khai thác - Phụ lục PL-02).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QT-VTP-QL-07</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Những sự cố vận hành thường gặp nhất sau khi phương tiện được kích hoạt vào hệ thống là gì?</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Nhận diện rủi ro mất tín hiệu GPS, vi phạm lộ trình, từ chối nhận lệnh điều phối và vi phạm cam kết SLA.</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4,2% chuyến bị mất tín hiệu GPS giữa đường và 8,5% xe từ chối nhận lệnh điều phối trong tháng đầu. (Minh chứng: Báo cáo sự cố vận hành trên hệ thống TMS tháng 06/2026).</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QT-VTP-QL-08</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Điểm nghẽn lớn nhất trong việc phối hợp luân chuyển thông tin giữa các phòng ban là gì?</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bộ phận nội bộ</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Khám phá sự phân mảnh dữ liệu nội bộ và lãng phí thời gian do chuyển giao thủ công giữa các phòng ban.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giấy tờ phải luân chuyển qua 4 bộ phận độc lập, thiếu kho dữ liệu dùng chung dẫn đến nhập liệu lặp lại 1,5 - 2,0 giờ. (Minh chứng: Phỏng vấn sâu chuyên viên Mua sắm và Pháp chế - Phụ lục PL-01).</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QT-VTP-QL-09</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lãnh đạo dựa trên những tiêu chí trọng yếu nào để phê duyệt phương án hợp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yêu cầu quản trị rủi ro, tính khả thi kinh tế và chuẩn hóa tờ trình quản trị để ra quyết định nhanh.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Ưu tiên đơn giá cạnh tranh, uy tín của nhà xe và năng lực đáp ứng trong mùa cao điểm; yêu cầu tờ trình súc tích. (Minh chứng: Biên bản họp giao ban Khối Vận hành Logistics).</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QT-VTP-QL-10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Ý kiến của các bên về giải pháp triển khai Cổng thông tin đối tác và Hợp đồng điện tử ký số?</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Toàn bộ 5 tác nhân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mức độ sẵn sàng và đồng thuận đối với 4 trụ cột công nghệ chuyển đổi số To-Be (Portal, e-Contract, OCR, DMN).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100% các bên ủng hộ chuyển đổi số để rút ngắn thời gian xử lý từ 6,44 ngày xuống dưới 2 ngày làm việc, (Minh chứng: Báo cáo khảo sát mức độ sẵn sàng chuyển đổi số nội bộ),</w:t>
            </w:r>
          </w:p>
        </w:tc>
      </w:tr>
    </w:tbl>
    <w:p>
      <w:pPr>
        <w:pStyle w:val="Heading3"/>
        <w:keepNext/>
        <w:spacing w:before="160" w:after="60"/>
        <w:jc w:val="left"/>
      </w:pPr>
      <w:r>
        <w:rPr>
          <w:rFonts w:ascii="Times New Roman" w:hAnsi="Times New Roman"/>
          <w:b/>
          <w:i w:val="0"/>
          <w:color w:val="000000"/>
          <w:sz w:val="25"/>
        </w:rPr>
        <w:t>2.2.2. Câu hỏi định lượng</w:t>
      </w:r>
    </w:p>
    <w:p>
      <w:pPr>
        <w:spacing w:before="0" w:after="120" w:line="300" w:lineRule="auto"/>
        <w:jc w:val="both"/>
      </w:pPr>
      <w:r>
        <w:rPr>
          <w:rFonts w:ascii="Times New Roman" w:hAnsi="Times New Roman"/>
          <w:color w:val="000000"/>
          <w:sz w:val="24"/>
        </w:rPr>
        <w:t>Phương pháp phỏng vấn định lượng được triển khai thông qua hệ thống 10 câu hỏi (QT-VTP-QN-01 đến QT-VTP-QN-10) nhằm lượng hóa chính xác các tham số thời gian xử lý thực tế (PT), thời gian chờ đợi lãng phí (WT), tỷ lệ đúng ngay từ lần đầu (FTR), tỷ lệ hao hụt qua phễu chuyển đổi và chi phí nhân sự theo phương pháp ABC (Activity-Based Costing). Bộ câu hỏi có cấu trúc 8 cột (Bảng 2.8) và câu hỏi mở (Bảng 2.9) cung cấp toàn bộ dữ liệu thực chứng làm đầu vào cho phân tích giải tích dòng chảy (Flow Analysis) và phân tích định lượng ở Chương 4.</w:t>
      </w:r>
    </w:p>
    <w:p>
      <w:pPr>
        <w:keepNext/>
        <w:spacing w:before="200" w:after="80"/>
        <w:jc w:val="left"/>
      </w:pPr>
      <w:r>
        <w:rPr>
          <w:rFonts w:ascii="Times New Roman" w:hAnsi="Times New Roman"/>
          <w:b/>
          <w:i w:val="0"/>
          <w:color w:val="000000"/>
          <w:sz w:val="22"/>
        </w:rPr>
        <w:t>Bảng 2.7: Danh sách câu hỏi định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Nội dung câu hỏi định lượng</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trung bình để rà soát, kiểm tra sơ bộ một bộ hồ sơ đăng ký là bao nhiêu giờ?</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xử lý thực tế tại Bước 4 (mục tiêu PT = 2,00h).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chuẩn ngay lần nộp đầu tiên là bao nhiêu phần trăm?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tỷ lệ chất lượng đầu vào (FTR = 70,00%, tỷ lệ lỗi r = 30,00%).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trung bình trong khâu gửi và nhận lại hợp đồng giấy qua bưu điện là bao lâu?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chờ (WT = 16,00h, tương đương 2 ngày làm việc),</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được phê duyệt và ký kết thành công trên tổng số hồ sơ tiếp nhận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tỷ lệ chuyển đổi hiệu dụng của toàn bộ phễu quy trình (Yield = 55,00%),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chi phí nhân sự trung bình để hoàn tất onboarding thành công một đối tác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chi phí hiệu dụng theo phương pháp ABC (C_effective = 3.943.636 VNĐ).</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bổ tỷ lệ các lỗi sai sót phổ biến nhất trong hồ sơ đăng ký của đối tác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tích Pareto 80/20 về nguyên nhân gây lỗi giấy tờ (TNDS, GPS, GPKD).</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Cơ cấu quy mô phương tiện của các đối tác đăng ký tham gia mạng lưới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cơ cấu nhà xe (60% cá nhân 1-2 xe, 30% HTX 3-10 xe, 10% doanh nghiệp lớn).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đợi phê duyệt tờ trình phương án hợp tác trung bình là bao nhiêu giờ?</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thời gian nằm trong hàng đợi chờ ký duyệt (WT = 8,00h),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phương tiện không nhận chuyến trong tháng đầu tiên sau khi kích hoạt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tỷ lệ đối tác không hoạt động sau kích hoạt (8,5%).</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Mức tiết kiệm chi phí vận hành khi sử dụng xe xã hội hóa so với đội xe tự doanh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hiệu quả kinh tế của mô hình xã hội hóa (tiết kiệm 15% - 22% OPEX).</w:t>
            </w:r>
          </w:p>
        </w:tc>
      </w:tr>
    </w:tbl>
    <w:p>
      <w:pPr>
        <w:keepNext/>
        <w:spacing w:before="200" w:after="80"/>
        <w:jc w:val="left"/>
      </w:pPr>
      <w:r>
        <w:rPr>
          <w:rFonts w:ascii="Times New Roman" w:hAnsi="Times New Roman"/>
          <w:b/>
          <w:i w:val="0"/>
          <w:color w:val="000000"/>
          <w:sz w:val="22"/>
        </w:rPr>
        <w:t>Bảng 2.8: Ghi nhận câu trả lời cho câu hỏi định lượng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Câu trả lời thực tế</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Giả thuyết</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Nghi ngờ / Chưa kiểm chứng</w:t>
            </w:r>
          </w:p>
        </w:tc>
        <w:tc>
          <w:tcPr>
            <w:tcW w:type="dxa" w:w="113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Minh chứng xác nhận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1,0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1,0 đến 3,0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3,0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trung bình là 2,00 giờ/hồ sơ (kiểm tra 8-10 danh mục chứng từ pháp lý).</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kiểm tra thủ công chiếm tỷ trọng lớn trong tổng thời gian xử lý.</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thể rút ngắn xuống dưới 0,5h nếu dùng công nghệ nhận dạng ký tự quang học OCR?</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chấm công và nhật ký thẩm định hồ sơ (Bảng 4.8 Dòng 4).</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90%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65% đến 75%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50%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đạt chuẩn ngay lần đầu là FTR = 70,00% (30% hồ sơ phải yêu cầu bổ sung giấy tờ).</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30% hồ sơ lỗi gây phát sinh 4,80h chờ đợi bổ sung và 0,30h xử lý lại.</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Nguyên nhân chính do đối tác thiếu hiểu biết về chuẩn GPS QCVN 31 hay bảo hiểm?</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Báo cáo phân tích chất lượng hồ sơ tiếp nhận (Bảng 4.9 Dòng 1).</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Trong vòng 4,0 giờ</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8,0 đến 24,0 giờ (1-3 ngày)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48,0 giờ (&gt;2 ngày)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gửi và nhận lại hợp đồng giấy qua bưu điện là WT = 16,00 giờ (2 ngày làm việc).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chuyển phát bưu chính là điểm nghẽn thời gian lớn nhất quy trình (chiếm 55,56% WT).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Hợp đồng điện tử ký số có thể triệt tiêu hoàn toàn 16,00h chờ đợi này?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Vận đơn theo dõi chuyển phát hợp đồng Viettel Post (Bảng 4.8 Dòng 8).</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80%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50% đến 60%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40%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phê duyệt và kích hoạt thành công là 55,00% (55 đối tác đạt trên 100 hồ sơ tiếp nhận).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hao hụt qua phễu là 45% do loại ở vòng sơ bộ, vòng kỹ thuật và đàm phán giá.</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loại 45% làm đội chi phí xử lý trên mỗi đối tác thành công lên bao nhiêu?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Báo cáo tổng kết phê duyệt phương án hợp tác năm 2026 (Bảng 4.9 Dòng 4).</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1.500.000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1.500.000 đến 3.000.000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3.500.000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trên một đối tác kích hoạt thành công là C_effective = 3.943.636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tiếp nhận ban đầu là 2.169.000 VNĐ/bộ, chia cho tỷ lệ đạt 55% thành 3.943.636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quy trình có thể hạ chi phí xuống dưới 2.500.000 VNĐ/đối tác?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tính định phí hoạt động Activity-Based Costing (Bảng 4.10 Dòng 7).</w:t>
            </w:r>
          </w:p>
        </w:tc>
      </w:tr>
    </w:tbl>
    <w:p>
      <w:pPr>
        <w:keepNext/>
        <w:spacing w:before="200" w:after="80"/>
        <w:jc w:val="left"/>
      </w:pPr>
      <w:r>
        <w:rPr>
          <w:rFonts w:ascii="Times New Roman" w:hAnsi="Times New Roman"/>
          <w:b/>
          <w:i w:val="0"/>
          <w:color w:val="000000"/>
          <w:sz w:val="22"/>
        </w:rPr>
        <w:t>Bảng 2.9: Danh sách câu hỏi định lượng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QT-VTP-QN-06</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tỷ lệ các lỗi sai sót phổ biến nhất trong hồ sơ đăng ký của đối tác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tích Pareto 80/20 về nguyên nhân gây lỗi giấy tờ để xây dựng cơ chế chống sai lỗi Poka-Yoke.</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tích dữ liệu 100 bộ hồ sơ: 45% lỗi Bảo hiểm TNDS hết hạn/sai mức trách nhiệm, 35% thiếu chứng nhận GPS QCVN 31:2014, 20% thiếu phù hiệu xe. (Minh chứng: Sổ theo dõi lỗi hồ sơ tiếp nhận năm 2026 - Phụ lục PL-03).</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QT-VTP-QN-07</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cấu quy mô phương tiện của các đối tác đăng ký tham gia mạng lưới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Khảo sát phân khúc quy mô nhà xe nhằm thiết kế chính sách hợp tác và hạn mức bảo lãnh phù hợp.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cấu trên mẫu N = 100: 60% hộ cá nhân (1 - 2 xe), 30% Hợp tác xã/SME (3 - 10 xe), 10% Doanh nghiệp vận tải lớn (&gt; 10 xe). (Minh chứng: Cơ sở dữ liệu hồ sơ đối tác trên hệ thống TMS).</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QT-VTP-QN-08</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phê duyệt tờ trình phương án hợp tác trung bình là bao nhiêu giờ?</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nằm trong hàng đợi chờ cấp thẩm quyền phê duyệt tờ trình.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phê duyệt trung bình là WT = 8,00 giờ (1 ngày làm việc) do lãnh đạo bận lịch họp hoặc công tác, (Minh chứng: Nhật ký trình ký văn bản điện tử V-Office - Bảng 4,8 Dòng 7),</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QT-VTP-QN-09</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phương tiện không nhận chuyến trong tháng đầu tiên sau khi kích hoạt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tỷ lệ phương tiện không hoạt động sau kích hoạt để đánh giá hiệu quả onboarding.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tỷ lệ phương tiện không nhận lệnh điều phối là 8,5% trong tháng đầu do không khớp giá tuyến hoặc vướng lịch riêng. (Minh chứng: Báo cáo điều độ phương tiện định kỳ của Trung tâm Khai thác).</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QT-VTP-QN-10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Mức tiết kiệm chi phí vận hành khi sử dụng xe xã hội hóa so với đội xe tự doanh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hiệu quả kinh tế và giá trị gia tăng của mô hình thuê ngoài xã hội hóa đối với chuỗi cung ứng.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hình thuê ngoài xã hội hóa giúp giảm 15% - 22% chi phí vận hành/tấn.km và cắt giảm 100% chi phí đầu tư mua xe mới (CAPEX). (Minh chứng: Báo cáo phân tích hiệu quả tài chính chuỗi cung ứng Viettel Post).</w:t>
            </w:r>
          </w:p>
        </w:tc>
      </w:tr>
    </w:tbl>
    <w:p>
      <w:pPr>
        <w:pStyle w:val="Heading1"/>
        <w:keepNext/>
        <w:spacing w:before="280" w:after="120"/>
        <w:jc w:val="left"/>
      </w:pPr>
      <w:r>
        <w:rPr>
          <w:rFonts w:ascii="Times New Roman" w:hAnsi="Times New Roman"/>
          <w:b/>
          <w:i w:val="0"/>
          <w:color w:val="000000"/>
          <w:sz w:val="30"/>
        </w:rPr>
        <w:t>3. Mô hình hóa quy trình</w:t>
      </w:r>
    </w:p>
    <w:p>
      <w:pPr>
        <w:keepNext/>
        <w:spacing w:before="160" w:after="40"/>
        <w:jc w:val="center"/>
      </w:pPr>
      <w:r>
        <w:drawing>
          <wp:inline xmlns:a="http://schemas.openxmlformats.org/drawingml/2006/main" xmlns:pic="http://schemas.openxmlformats.org/drawingml/2006/picture">
            <wp:extent cx="5852160" cy="2549870"/>
            <wp:docPr id="4" name="Picture 4"/>
            <wp:cNvGraphicFramePr>
              <a:graphicFrameLocks noChangeAspect="1"/>
            </wp:cNvGraphicFramePr>
            <a:graphic>
              <a:graphicData uri="http://schemas.openxmlformats.org/drawingml/2006/picture">
                <pic:pic>
                  <pic:nvPicPr>
                    <pic:cNvPr id="0" name="Quy_trinh_quan_ly_va_lua_chon_doi_tac_cung_ung_phuong_tien_van_tai.png"/>
                    <pic:cNvPicPr/>
                  </pic:nvPicPr>
                  <pic:blipFill>
                    <a:blip r:embed="rId12"/>
                    <a:stretch>
                      <a:fillRect/>
                    </a:stretch>
                  </pic:blipFill>
                  <pic:spPr>
                    <a:xfrm>
                      <a:off x="0" y="0"/>
                      <a:ext cx="5852160" cy="2549870"/>
                    </a:xfrm>
                    <a:prstGeom prst="rect"/>
                  </pic:spPr>
                </pic:pic>
              </a:graphicData>
            </a:graphic>
          </wp:inline>
        </w:drawing>
      </w:r>
    </w:p>
    <w:p>
      <w:pPr>
        <w:spacing w:before="80" w:after="240"/>
        <w:jc w:val="center"/>
      </w:pPr>
      <w:r>
        <w:rPr>
          <w:rFonts w:ascii="Times New Roman" w:hAnsi="Times New Roman"/>
          <w:b/>
          <w:i w:val="0"/>
          <w:color w:val="000000"/>
          <w:sz w:val="22"/>
        </w:rPr>
        <w:t>Hình 3.1: Sơ đồ BPMN Quy trình quản lý và lựa chọn đối tác cung ứng phương tiện vận tải</w:t>
      </w:r>
    </w:p>
    <w:p>
      <w:pPr>
        <w:pStyle w:val="Heading1"/>
        <w:keepNext/>
        <w:spacing w:before="280" w:after="120"/>
        <w:jc w:val="left"/>
      </w:pPr>
      <w:r>
        <w:rPr>
          <w:rFonts w:ascii="Times New Roman" w:hAnsi="Times New Roman"/>
          <w:b/>
          <w:i w:val="0"/>
          <w:color w:val="000000"/>
          <w:sz w:val="30"/>
        </w:rPr>
        <w:t>4. Phân tích quy trình</w:t>
      </w:r>
    </w:p>
    <w:p>
      <w:pPr>
        <w:pStyle w:val="Heading2"/>
        <w:keepNext/>
        <w:spacing w:before="220" w:after="80"/>
        <w:jc w:val="left"/>
      </w:pPr>
      <w:r>
        <w:rPr>
          <w:rFonts w:ascii="Times New Roman" w:hAnsi="Times New Roman"/>
          <w:b/>
          <w:i w:val="0"/>
          <w:color w:val="000000"/>
          <w:sz w:val="27"/>
        </w:rPr>
        <w:t>4.1. Phân tích định tính</w:t>
      </w:r>
    </w:p>
    <w:p>
      <w:pPr>
        <w:pStyle w:val="Heading3"/>
        <w:keepNext/>
        <w:spacing w:before="160" w:after="60"/>
        <w:jc w:val="left"/>
      </w:pPr>
      <w:r>
        <w:rPr>
          <w:rFonts w:ascii="Times New Roman" w:hAnsi="Times New Roman"/>
          <w:b/>
          <w:i w:val="0"/>
          <w:color w:val="000000"/>
          <w:sz w:val="25"/>
        </w:rPr>
        <w:t>4.1.1. Phân tích giá trị gia tăng</w:t>
      </w:r>
    </w:p>
    <w:p>
      <w:pPr>
        <w:keepNext/>
        <w:spacing w:before="200" w:after="80"/>
        <w:jc w:val="left"/>
      </w:pPr>
      <w:r>
        <w:rPr>
          <w:rFonts w:ascii="Times New Roman" w:hAnsi="Times New Roman"/>
          <w:b/>
          <w:i w:val="0"/>
          <w:color w:val="000000"/>
          <w:sz w:val="22"/>
        </w:rPr>
        <w:t>Bảng 4.1: Tiêu chí phân loại giá trị gia tăng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Loại giá trị</w:t>
            </w:r>
          </w:p>
        </w:tc>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Câu hỏi kiểm định theo phương pháp Dumas</w:t>
            </w:r>
          </w:p>
        </w:tc>
        <w:tc>
          <w:tcPr>
            <w:tcW w:type="dxa" w:w="302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Căn cứ phân loại và áp dụng thực tế</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 trị gia tăng cho khách hàng (VA)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có sẵn sàng chi trả cho hoạt động này không? Hoạt động có làm biến đổi trực tiếp trạng thái dịch vụ không? Hoạt động có được thực hiện đúng ngay từ lần đầu không?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hoạt động trực tiếp tạo ra năng lực vận tải đạt chuẩn, bảo đảm an toàn hàng hóa, tối ưu chi phí và đưa phương tiện vào hệ thống phục vụ khách hàng (Xác định tiêu chuẩn xe và tuyến, Thẩm định chuyên sâu phương tiện và GPS, Thương lượng điều khoản và cước phí, Hoàn thiện ký kết hợp đồng và kích hoạt trên TMS).</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Giá trị gia tăng cho doanh nghiệp (BVA)</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có bắt buộc theo quy định pháp luật không? Hoạt động có cần thiết để kiểm soát rủi ro tài chính hoặc bảo vệ tài sản doanh nghiệp không?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hoạt động giúp doanh nghiệp kiểm soát chi phí nội bộ, phòng ngừa rủi ro pháp lý và tuân thủ quy định Nhà nước (Đánh giá năng lực đội xe nội bộ, Tiếp nhận và kiểm tra hồ sơ sơ bộ theo Nghị định 10/2020/NĐ-CP và Nghị định 67/2023/NĐ-CP, Thẩm định sơ bộ, Xem xét và phê duyệt phương án).</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không tạo giá trị (NVA)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có tiêu tốn thời gian, chi phí mà không tạo giá trị cho khách hàng và không cần thiết cho doanh nghiệp không?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hoạt động lãng phí thuần túy phát sinh do sai lỗi và chậm trễ trong quy trình: bổ sung hồ sơ thiếu (30%), giải trình và hoàn thiện lại tờ trình (15%), sửa đổi hợp đồng sai sót (10%) và thời gian chờ chuyển phát bưu chính (16 giờ).</w:t>
            </w:r>
          </w:p>
        </w:tc>
      </w:tr>
    </w:tbl>
    <w:p>
      <w:pPr>
        <w:keepNext/>
        <w:spacing w:before="200" w:after="80"/>
        <w:jc w:val="left"/>
      </w:pPr>
      <w:r>
        <w:rPr>
          <w:rFonts w:ascii="Times New Roman" w:hAnsi="Times New Roman"/>
          <w:b/>
          <w:i w:val="0"/>
          <w:color w:val="000000"/>
          <w:sz w:val="22"/>
        </w:rPr>
        <w:t>Bảng 4.2: Danh mục hoạt động và chỉ số phân tích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Hoạt động</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Số bước con</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Người thực hiện</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Chỉ số theo dõi</w:t>
            </w:r>
          </w:p>
        </w:tc>
        <w:tc>
          <w:tcPr>
            <w:tcW w:type="dxa" w:w="1814"/>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Đơn vị đo lường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Đánh giá năng lực đội xe nội bộ</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công suất khả dụng của đội xe tự doanh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Xác định tiêu chuẩn và mời hợp tác</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lượng hồ sơ tiếp nhận trên mỗi đợt thông báo</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Hồ sơ/đợt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Nộp hồ sơ đăng ký hợp tác</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hồ sơ gửi đúng hạn theo thông báo</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Tiếp nhận và kiểm tra hồ sơ sơ bộ</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chuẩn ngay lần đầu (FTR)</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Thẩm định chuyên sâu phương tiện và GPS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phương tiện đạt chuẩn kỹ thuật và GPS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Lựa chọn cơ chế và thương lượng điều khoản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Mức chênh lệch đơn giá thương lượng so với giá trần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 Xem xét và phê duyệt phương án hợp tác</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xem xét phê duyệt tờ trình trung bình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 Hoàn thiện và ký kết hợp đồng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hợp đồng hợp lệ ngay lần đầu (Legal Right)</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 Kích hoạt thông tin đối tác trên TMS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kích hoạt mã Vendor ID trên hệ thống TMS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r>
    </w:tbl>
    <w:p>
      <w:pPr>
        <w:keepNext/>
        <w:spacing w:before="200" w:after="80"/>
        <w:jc w:val="left"/>
      </w:pPr>
      <w:r>
        <w:rPr>
          <w:rFonts w:ascii="Times New Roman" w:hAnsi="Times New Roman"/>
          <w:b/>
          <w:i w:val="0"/>
          <w:color w:val="000000"/>
          <w:sz w:val="22"/>
        </w:rPr>
        <w:t>Bảng 4.3: Phân tích giá trị gia tăng theo bước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Bước</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nhân thực hiện</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Phân loại giá trị</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Mô tả chi tiết hoạt động</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Căn cứ phân loại</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Biện pháp cải tiến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Đánh giá năng lực đội xe nội bộ</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 [7].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thiết cho doanh nghiệp nhằm tối ưu hóa tài sản tự có, kiểm soát chi phí nội bộ và tránh thuê ngoài lãng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Liên kết phân hệ TMS Analytics tự động cảnh báo công suất trống và gợi ý mở thầu khi tỷ lệ lấp đầy toàn tuyến &gt; 85%.</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Xác định tiêu chuẩn và mời hợp tác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yêu cầu đúng chủng loại xe chuyên dụng để bảo đảm an toàn hàng hóa và sẵn sàng chi trả chi phí vận chuyển.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hóa Bộ tiêu chuẩn kỹ thuật phương tiện theo từng phân khúc ngành hàng trên hệ thống.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Nộp hồ sơ đăng ký hợp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 điều kiện đầu vào bắt buộc để doanh nghiệp kiểm soát tư cách pháp nhân và tính hợp pháp của phương tiện.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cho phép nộp hồ sơ số hóa 24/7.</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Tiếp nhận và kiểm tra hồ sơ sơ bộ</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soát rủi ro pháp lý đầu vào cho doanh nghiệp, bảo đảm tuân thủ Nghị định 10/2020/NĐ-CP [8], NĐ 41/2024/NĐ-CP [9] và NĐ 67/2023/NĐ-CP [10].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hợp công nghệ nhận dạng ký tự quang học (OCR) và cơ chế Poka-Yoke tự động kiểm tra tính hợp lệ của giấy tờ.</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Thẩm định chuyên sâu phương tiện và GPS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thực tế độ kín nước (Light Leak, Water Spray 10p), Seal 2 lớp và kiểm tra Camera, GPS theo QCVN 31:2014/BGTVT [12].</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Cốt lõi chất lượng dịch vụ: Khách hàng sẵn sàng trả tiền để hàng không bị hư hỏng, bảo đảm an toàn và theo dõi lộ trình 24/7.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 chức thẩm định tập trung theo lô tại Hub kết hợp ứng dụng di động Geotag và API trích xuất dữ liệu GPS từ xa.</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Lựa chọn cơ chế và thương lượng điều khoản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Trực tiếp tối ưu hóa chi phí vận chuyển cho khách hàng, đồng thời ràng buộc trách nhiệm bồi thường của nhà xe.</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Ban hành khung cơ chế cước chuẩn hóa và tổ chức chào giá, thương lượng trực tuyến.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 Xem xét và phê duyệt phương án hợp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soát thẩm quyền tài chính, phòng chống rủi ro thất thoát ngân sách và tuân thủ quản trị nội bộ.</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luồng phê duyệt điện tử tự động trên ứng dụng di động theo hạn mức ngân sách định sẵn.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 Hoàn thiện và ký kết hợp đồng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tất thủ tục chuyển giao cuối cùng, tạo nguồn lực vận tải thực tế sẵn sàng chở hàng của khách hàng.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Triển khai Hợp đồng điện tử (e-Contract) ký số qua chữ ký số từ xa hoặc OTP, loại bỏ hoàn toàn chuyển phát bưu chính.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 Kích hoạt thông tin đối tác trên TMS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Trực tiếp đưa phương tiện vào mạng lưới điều xe phục vụ đơn hàng thực tế của khách hàng.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cấp mã Vendor ID và phân quyền điều xe ngay sau khi hợp đồng điện tử được ký số thành công.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 Bổ sung hồ sơ giấy tờ (30% 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&amp; Quản lý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Liên hệ, yêu cầu và tiếp nhận lại các giấy tờ xe bị thiếu, mờ hoặc hết hạn hiệu lực.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khắc phục lỗi do hồ sơ đầu vào không đạt chuẩn (Lãng phí làm lại và chờ đợi: tốn 0,30h PT và 4,80h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cơ chế Poka-Yoke trên biểu mẫu nộp trực tuyến, bắt buộc tải đủ chứng từ hợp lệ mới cho phép gửi hồ sơ.</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11. Hoàn thiện phương án trình lại (15% 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Quản lý đối tác &amp; Cấp duyệt</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Chỉnh sửa, giải trình bổ sung số liệu giá cước hoặc dự báo sản lượng vào tờ trình do bị trả về.</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làm lại và xử lý thừa do chuẩn bị tờ trình chưa đạt yêu cầu (Lãng phí làm lại: tốn 0,30h PT).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Mẫu tờ trình điện tử tự động trích xuất dữ liệu phân tích giá cước và công suất từ hệ thống TMS.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12. Chỉnh sửa hợp đồng sai sót (10% hợp đồng)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Pháp chế &amp;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lại hợp đồng do sai sót thông tin tài khoản ngân hàng, biển số xe trong phụ lục hoặc lỗi đóng dấu.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sai lỗi và chờ đợi luân chuyển giấy tờ (Lãng phí sai hỏng: tốn 0,10h PT).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số khóa cứng điều khoản khung, tự động điền dữ liệu và tích hợp cổng xác thực tài khoản ngân hàng tự động.</w:t>
            </w:r>
          </w:p>
        </w:tc>
      </w:tr>
    </w:tbl>
    <w:p>
      <w:pPr>
        <w:keepNext/>
        <w:spacing w:before="160" w:after="40"/>
        <w:jc w:val="center"/>
      </w:pPr>
      <w:r>
        <w:drawing>
          <wp:inline xmlns:a="http://schemas.openxmlformats.org/drawingml/2006/main" xmlns:pic="http://schemas.openxmlformats.org/drawingml/2006/picture">
            <wp:extent cx="5852160" cy="2608391"/>
            <wp:docPr id="5" name="Picture 5"/>
            <wp:cNvGraphicFramePr>
              <a:graphicFrameLocks noChangeAspect="1"/>
            </wp:cNvGraphicFramePr>
            <a:graphic>
              <a:graphicData uri="http://schemas.openxmlformats.org/drawingml/2006/picture">
                <pic:pic>
                  <pic:nvPicPr>
                    <pic:cNvPr id="0" name="Quy_trinh_quan_ly_va_lua_chon_doi_tac_cung_ung_phuong_tien_van_tai_VAA.png"/>
                    <pic:cNvPicPr/>
                  </pic:nvPicPr>
                  <pic:blipFill>
                    <a:blip r:embed="rId13"/>
                    <a:stretch>
                      <a:fillRect/>
                    </a:stretch>
                  </pic:blipFill>
                  <pic:spPr>
                    <a:xfrm>
                      <a:off x="0" y="0"/>
                      <a:ext cx="5852160" cy="2608391"/>
                    </a:xfrm>
                    <a:prstGeom prst="rect"/>
                  </pic:spPr>
                </pic:pic>
              </a:graphicData>
            </a:graphic>
          </wp:inline>
        </w:drawing>
      </w:r>
    </w:p>
    <w:p>
      <w:pPr>
        <w:spacing w:before="80" w:after="240"/>
        <w:jc w:val="center"/>
      </w:pPr>
      <w:r>
        <w:rPr>
          <w:rFonts w:ascii="Times New Roman" w:hAnsi="Times New Roman"/>
          <w:b/>
          <w:i w:val="0"/>
          <w:color w:val="000000"/>
          <w:sz w:val="22"/>
        </w:rPr>
        <w:t>Hình 4.1: Sơ đồ BPMN - Phân tích giá trị gia tăng</w:t>
      </w:r>
    </w:p>
    <w:p>
      <w:pPr>
        <w:pStyle w:val="Heading3"/>
        <w:keepNext/>
        <w:spacing w:before="160" w:after="60"/>
        <w:jc w:val="left"/>
      </w:pPr>
      <w:r>
        <w:rPr>
          <w:rFonts w:ascii="Times New Roman" w:hAnsi="Times New Roman"/>
          <w:b/>
          <w:i w:val="0"/>
          <w:color w:val="000000"/>
          <w:sz w:val="25"/>
        </w:rPr>
        <w:t>4.1.2. Phân tích lãng phí</w:t>
      </w:r>
    </w:p>
    <w:p>
      <w:pPr>
        <w:keepNext/>
        <w:spacing w:before="200" w:after="80"/>
        <w:jc w:val="left"/>
      </w:pPr>
      <w:r>
        <w:rPr>
          <w:rFonts w:ascii="Times New Roman" w:hAnsi="Times New Roman"/>
          <w:b/>
          <w:i w:val="0"/>
          <w:color w:val="000000"/>
          <w:sz w:val="22"/>
        </w:rPr>
        <w:t>Bảng 4.4: Phân tích lãng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Nhóm lãng phí</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Loại lãng phí</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Bằng chứng thực tế</w:t>
            </w:r>
          </w:p>
        </w:tc>
        <w:tc>
          <w:tcPr>
            <w:tcW w:type="dxa" w:w="2268"/>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Biện pháp cải tiến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Di chuyển (Move)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vận chuyển: Hồ sơ giấy luân chuyển thủ công qua 4 phòng ban và chuyển phát hợp đồng giấy qua đường bưu điện.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100% hồ sơ giấy luân chuyển thủ công qua 4 đơn vị; thời gian chuyển phát hợp đồng 2 chiều mất WT = 16,00 giờ (chiếm 55,56% tổng thời gian chờ).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và Hợp đồng điện tử (e-Contract) ký số từ xa, số hóa 100% hồ sơ luân chuyển.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Di chuyển (Move)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thao tác thừa: Chuyên viên phải di chuyển thực địa nhiều lần đến các bãi xe phân tán của đối tác để kiểm tra phương tiện.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Mất trung bình 2,0 - 4,0 giờ di chuyển cho mỗi đợt thẩm định; Bước 5 thẩm định chuyên sâu tốn PT = 6,00 giờ.</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tập trung địa điểm kiểm tra xe theo lô tại các Hub trung tâm của Viettel Post kết hợp kiểm tra dữ liệu GPS từ xa qua API.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Lưu trữ và Chờ đợi (Hold)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tồn kho thông tin: Hồ sơ đăng ký tồn đọng trong hàng đợi chờ phân công xử lý theo lô; danh sách xe đã thẩm định chờ gom đợt trình duyệt.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Tồn đọng 15 - 20 hồ sơ trong hàng đợi xử lý vào các đợt cao điểm; làm kéo dài thời gian chu kỳ toàn trình lên CT = 51,50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Áp dụng nguyên tắc luồng một hồ sơ và thiết lập giới hạn khối lượng công việc đang xử lý trên hệ thống số.</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Lưu trữ và Chờ đợi (Hold)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thời gian chờ đợi: Thời gian chết chờ đối tác bổ sung giấy tờ (4,8h), chờ Ban Giám đốc phê duyệt tờ trình (8h), chờ gửi - nhận hợp đồng giấy (16h).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thời gian chờ đợi lãng phí lên tới WT = 28,80 giờ (chiếm 55,92% tổng chu kỳ CT; PCE = 44,08%).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Thiết lập SLA nhắc hạn tự động, số hóa luồng duyệt tờ trình trên di động và áp dụng chữ ký số e-Contract.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sai lỗi và làm lại: 30% hồ sơ nộp thiếu bảo hiểm TNDS/đăng kiểm; 15% tờ trình thiếu dữ liệu cước; 10% hợp đồng sai thông tin tài khoản.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đúng ngay lần đầu FTR = 70,00%; làm tăng thời gian xử lý thêm 0,70 giờ và phát sinh 4,80 giờ chờ bổ sung giấy tờ.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Ứng dụng cơ chế chống sai lỗi Poka-Yoke và nhận dạng OCR tự động trên biểu mẫu đăng ký trực tuyến, bắt buộc đủ chứng từ mới cho gửi.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xử lý thừa: Thao tác nhập liệu thông tin đối tác trùng lặp giữa Mua sắm và Pháp chế; nhiều đơn vị kiểm tra lại cùng một chứng từ.</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Tốn 1,5 - 2,0 giờ xử lý trùng lặp trên mỗi bộ hồ sơ đăng ký do thiếu hệ thống dữ liệu tập trung.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Thiết lập Kho dữ liệu đối tác dùng chung (Single Source of Truth), phân quyền kiểm soát và tái sử dụng kết quả thẩm định.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tuyển chọn thừa: Tiếp nhận và thẩm định đối tác vượt quá nhu cầu điều phối thực tế trên tuyến; mở đợt mời xe vượt dự báo sản lượng.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Khoảng 15% đối tác sau khi duyệt và ký hợp đồng không được phân bổ đơn hàng điều phối do thừa công suất cục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Đồng bộ hóa kế hoạch tuyển chọn đối tác với dự báo sản lượng và nhu cầu thực tế trên phân hệ TMS Analytics.</w:t>
            </w:r>
          </w:p>
        </w:tc>
      </w:tr>
    </w:tbl>
    <w:p>
      <w:pPr>
        <w:keepNext/>
        <w:spacing w:before="160" w:after="40"/>
        <w:jc w:val="center"/>
      </w:pPr>
      <w:r>
        <w:drawing>
          <wp:inline xmlns:a="http://schemas.openxmlformats.org/drawingml/2006/main" xmlns:pic="http://schemas.openxmlformats.org/drawingml/2006/picture">
            <wp:extent cx="5852160" cy="2633472"/>
            <wp:docPr id="6" name="Picture 6"/>
            <wp:cNvGraphicFramePr>
              <a:graphicFrameLocks noChangeAspect="1"/>
            </wp:cNvGraphicFramePr>
            <a:graphic>
              <a:graphicData uri="http://schemas.openxmlformats.org/drawingml/2006/picture">
                <pic:pic>
                  <pic:nvPicPr>
                    <pic:cNvPr id="0" name="Quy_trinh_quan_ly_va_lua_chon_doi_tac_cung_ung_phuong_tien_van_tai_Waste.png"/>
                    <pic:cNvPicPr/>
                  </pic:nvPicPr>
                  <pic:blipFill>
                    <a:blip r:embed="rId14"/>
                    <a:stretch>
                      <a:fillRect/>
                    </a:stretch>
                  </pic:blipFill>
                  <pic:spPr>
                    <a:xfrm>
                      <a:off x="0" y="0"/>
                      <a:ext cx="5852160" cy="2633472"/>
                    </a:xfrm>
                    <a:prstGeom prst="rect"/>
                  </pic:spPr>
                </pic:pic>
              </a:graphicData>
            </a:graphic>
          </wp:inline>
        </w:drawing>
      </w:r>
    </w:p>
    <w:p>
      <w:pPr>
        <w:spacing w:before="80" w:after="240"/>
        <w:jc w:val="center"/>
      </w:pPr>
      <w:r>
        <w:rPr>
          <w:rFonts w:ascii="Times New Roman" w:hAnsi="Times New Roman"/>
          <w:b/>
          <w:i w:val="0"/>
          <w:color w:val="000000"/>
          <w:sz w:val="22"/>
        </w:rPr>
        <w:t>Hình 4.2: Sơ đồ BPMN - Phân tích lãng phí</w:t>
      </w:r>
    </w:p>
    <w:p>
      <w:pPr>
        <w:pStyle w:val="Heading3"/>
        <w:keepNext/>
        <w:spacing w:before="160" w:after="60"/>
        <w:jc w:val="left"/>
      </w:pPr>
      <w:r>
        <w:rPr>
          <w:rFonts w:ascii="Times New Roman" w:hAnsi="Times New Roman"/>
          <w:b/>
          <w:i w:val="0"/>
          <w:color w:val="000000"/>
          <w:sz w:val="25"/>
        </w:rPr>
        <w:t>4.1.3. Phân tích các bên liên quan và xác định nguyên nhân gốc rễ</w:t>
      </w:r>
    </w:p>
    <w:p>
      <w:pPr>
        <w:keepNext/>
        <w:spacing w:before="200" w:after="80"/>
        <w:jc w:val="left"/>
      </w:pPr>
      <w:r>
        <w:rPr>
          <w:rFonts w:ascii="Times New Roman" w:hAnsi="Times New Roman"/>
          <w:b/>
          <w:i w:val="0"/>
          <w:color w:val="000000"/>
          <w:sz w:val="22"/>
        </w:rPr>
        <w:t>Bảng 4.5: Phân tích các bên liên quan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Nhóm liên quan</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Vai trò trong quy trình</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Mối quan tâm chính</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Vấn đề / Yếu kém tiềm năng</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Bằng chứng thực tế</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động đến hiệu năng quy trình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Khách hàng nội bộ: 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tiếp nhận và trực tiếp điều phối phương tiện phục vụ mạng lưới chuyển phát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đủ phương tiện nhanh chóng, đúng tải trọng và chất lượng kỹ thuật để giải tỏa hàng hóa, đảm bảo SLA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Thiếu phương tiện đột xuất trong giờ cao điểm; phương tiện gián đoạn truyền dữ liệu GPS khi đang chạy tuyến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trễ giao hàng 2,5%; 4,2% chuyến xe bị ngắt tín hiệu định vị; 8,5% đối tác không nhận đơn trong tháng đầu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giảm chỉ số giao hàng đúng hạn (OTD), giảm uy tín thương hiệu Viettel Post và phát sinh chi phí bồi thường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Đơn vị chủ trì thực hiện: 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tiếp nhận hồ sơ, thẩm định sơ bộ, chuyên sâu, đàm phán thương mại và lập tờ trình phương 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Tuyển chọn được đối tác chất lượng cao nhanh chóng, đơn giá cước cạnh tranh, tối ưu chi phí xử lý 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lực tiến độ trong mùa cao điểm; tốn nhiều thời gian kiểm tra thủ công và đi lại thẩm định thực địa tại bãi xe phân tán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xử lý của nhân sự mua sắm chiếm 54,08% tổng chi phí nhân công (1.173.000 VNĐ/hồ sơ); mất 2,0 - 4,0h di chuyển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Kéo dài thời gian xử lý thực tế lên PT = 22,70 giờ, gây quá tải cục bộ và dễ phát sinh sai sót thẩm định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Đơn vị phối hợp &amp; Kiểm soát: Bộ phận Pháp chế và Kiểm soát tuân thủ</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 soát điều kiện pháp lý, soạn thảo hợp đồng nguyên tắc, kiểm soát rủi ro tuân thủ và kích hoạt TMS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đảm 100% tuân thủ pháp luật, chặt chẽ về điều khoản bồi thường, quản lý hợp đồng và thanh toán minh bạch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hợp đồng giấy phức tạp, mất thời gian gửi bưu điện; thiếu cơ chế đối soát tài khoản ngân hàng tự động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chuyển phát bưu chính mất WT = 16,00 giờ (chiếm 31,07% tổng chu kỳ CT); 10% hợp đồng phải chỉnh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điểm nghẽn thời gian chờ đợi lớn nhất quy trình, làm chậm tiến độ đưa đối tác vào vận hành chính thức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Cấp quản lý phê duyệt: Cấp quản lý phê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Xem xét tính cần thiết, đánh giá hiệu quả kinh tế và ra quyết định phê duyệt phương án hợp tác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Mở rộng mạng lưới xã hội hóa đúng chiến lược, giảm CAPEX đầu tư xe tự doanh, tối ưu OPEX và an toàn pháp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Hàng đợi phê duyệt tờ trình giấy bị ứ đọng khi lãnh đạo bận họp hoặc đi công tác; thông tin tờ trình chưa chuẩn hóa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nằm trong hàng đợi chờ phê duyệt tờ trình là WT = 8,00 giờ (1 ngày làm việc); 15% tờ trình phải giải trình lại</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chậm tiến độ kích hoạt phương tiện, giảm tính linh hoạt và tốc độ phản ứng của mạng lưới vận tải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Đối tác bên ngoài: Đơn vị cung ứng phương tiện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 chức, cá nhân sở hữu phương tiện tham gia cung ứng dịch vụ vận tải cho Viettel Post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Thủ tục tham gia đơn giản, minh bạch, đơn giá cước công bằng, thanh toán đúng hạn và sản lượng vận chuyển ổn định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Rào cản thủ tục giấy tờ công chứng rườm rà; thời gian chờ duyệt và nhận hợp đồng quá lâu (6,44 ngày)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phải bổ sung giấy tờ; thời gian chờ kích hoạt kéo dài 51,50 giờ làm việc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nản lòng, giảm mức độ gắn kết, có xu hướng chuyển sang hợp tác với các sàn vận tải công nghệ khác</w:t>
            </w:r>
          </w:p>
        </w:tc>
      </w:tr>
    </w:tbl>
    <w:p>
      <w:pPr>
        <w:pStyle w:val="Heading4"/>
        <w:keepNext/>
        <w:spacing w:before="120" w:after="40"/>
        <w:jc w:val="left"/>
      </w:pPr>
      <w:r>
        <w:rPr>
          <w:rFonts w:ascii="Times New Roman" w:hAnsi="Times New Roman"/>
          <w:b/>
          <w:i w:val="0"/>
          <w:color w:val="000000"/>
          <w:sz w:val="24"/>
        </w:rPr>
        <w:t>4.1.3.1. Sổ theo dõi vấn đề (Issue register)</w:t>
      </w:r>
    </w:p>
    <w:p>
      <w:pPr>
        <w:keepNext/>
        <w:spacing w:before="200" w:after="80"/>
        <w:jc w:val="left"/>
      </w:pPr>
      <w:r>
        <w:rPr>
          <w:rFonts w:ascii="Times New Roman" w:hAnsi="Times New Roman"/>
          <w:b/>
          <w:i w:val="0"/>
          <w:color w:val="000000"/>
          <w:sz w:val="22"/>
        </w:rPr>
        <w:t>Bảng 4.6: Sổ theo dõi vấn đề (Issue register)</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Mã vấn đề</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Tên vấn đề</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Mô tả chi tiết vấn đề</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Giả định</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động định tính</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Tác động định lượng</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Biện pháp cải tiến đề xuất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đầu vào thiếu và sai sót cao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nộp vào bị thiếu bảo hiểm TNDS bắt buộc, đăng kiểm hoặc chứng nhận GPS hợp chuẩn QCVN 31:2014, làm phát sinh vòng lặp bổ sung giấy tờ.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Mỗi đợt tiếp nhận 100 bộ hồ sơ; chủ xe tư nhân chưa nắm rõ checklist quy định pháp lý.</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Gây bức xúc cho nhà xe do phải đi lại nhiều lần; tăng tải công việc cho chuyên viên tiếp nhận; giảm trải nghiệm đối tác.</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FTR = 70,00%; phát sinh 0,30h PT xử lý lại và 4,80h WT chờ bổ sung; tăng chi phí nhân sự thêm 25.500 VNĐ/hồ sơ.</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tích hợp nhận dạng OCR và cơ chế chống sai lỗi Poka-Yoke bắt buộc đính kèm đủ chứng từ.</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Chờ chuyển phát hợp đồng giấy kéo dài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nguyên tắc ký tươi và đóng dấu pháp nhân phải chuyển phát bưu chính 2 chiều qua đường bưu điện giữa Viettel Post và đối tác.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chuyển phát bưu điện 2 chiều trung bình mất 2 ngày làm việc (16 giờ làm việc).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chưa dám nhận lệnh vận chuyển khi chưa cầm hợp đồng trên tay; rủi ro thất lạc tài liệu trong quá trình lưu chuyển thư tín.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đợi WT = 16,00 giờ (chiếm 31,07% tổng chu kỳ CT và 55,56% tổng thời gian chờ); là điểm nghẽn lớn nhất quy trình.</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Ứng dụng nền tảng Hợp đồng điện tử (e-Contract) ký số từ xa qua chữ ký số hoặc xác thực mã OTP SMS theo Luật Giao dịch điện tử 2023.</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Ứ đọng hàng đợi phê duyệt tờ trình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Tờ trình phương án hợp tác bằng văn bản giấy phải luân chuyển qua nhiều cấp phê duyệt thủ công, phụ thuộc lịch làm việc trực tiếp của lãnh đạo.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thường xuyên bận họp hoặc đi công tác ngoại tỉnh; chưa có cơ chế ủy quyền phê duyệt số.</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chậm tiến độ giải tỏa hàng hóa tại các Hub khai thác trong mùa cao điểm; gây ức chế cho các bộ phận nghiệp vụ.</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nằm chờ trong hàng đợi là WT = 8,00 giờ (1 ngày làm việc); 15% tờ trình bị yêu cầu giải trình và hoàn thiện lại.</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luồng phê duyệt điện tử tự động trên ứng dụng di động kết hợp bảng ma trận phân quyền tự động theo hạn mức giá trị.</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Thẩm định hiện trường phân tán tốn kém</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Chuyên viên Mua sắm phải trực tiếp di chuyển đến từng bãi đỗ xe phân tán của đối tác để kiểm tra thùng xe và đối chiếu thiết bị GPS.</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bãi xe của đối tác nằm rải rác tại nhiều quận huyện ngoại thành hoặc các tỉnh lân cận.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Gây quá tải và mệt mỏi cho nhân sự kiểm tra; nguy cơ đánh giá cảm tính không đồng nhất giữa các chuyên viên.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Mất 2,0 - 4,0 giờ di chuyển thực địa; Bước 5 thẩm định chuyên sâu chiếm thời gian xử lý lớn nhất (PT = 6,00 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 chức thẩm định tập trung theo lô tại các Hub trung tâm của Viettel Post kết hợp ứng dụng chụp ảnh Geotag và API kiểm tra dữ liệu GPS từ xa.</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cao do tỷ lệ chuyển đổi thấp</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chuyển đổi qua phễu chỉ đạt 55% làm chi phí thực tế gánh trên mỗi đối tác được kích hoạt thành công bị đội lên rất cao.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xử lý ban đầu bình quân là 2.169.000 VNĐ/bộ hồ sơ tiếp nhận.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nguồn lực thẩm định cho 45% hồ sơ bị loại ở các vòng sau; giảm hiệu quả tài chính của chương trình xã hội hóa.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bị đội lên mức 3.943.636 VNĐ (chênh lệch hao hụt phễu lên tới 1.774.636 VNĐ).</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Công khai minh bạch tiêu chuẩn kỹ thuật, điều kiện pháp lý và khung giá cước tham chiếu ngay từ thông báo mời hợp tác ban đầu.</w:t>
            </w:r>
          </w:p>
        </w:tc>
      </w:tr>
    </w:tbl>
    <w:p>
      <w:pPr>
        <w:pStyle w:val="Heading4"/>
        <w:keepNext/>
        <w:spacing w:before="120" w:after="40"/>
        <w:jc w:val="left"/>
      </w:pPr>
      <w:r>
        <w:rPr>
          <w:rFonts w:ascii="Times New Roman" w:hAnsi="Times New Roman"/>
          <w:b/>
          <w:i w:val="0"/>
          <w:color w:val="000000"/>
          <w:sz w:val="24"/>
        </w:rPr>
        <w:t>4.1.3.2. Phân tích nguyên nhân gốc rễ</w:t>
      </w:r>
    </w:p>
    <w:p>
      <w:pPr>
        <w:keepNext/>
        <w:spacing w:before="200" w:after="80"/>
        <w:jc w:val="left"/>
      </w:pPr>
      <w:r>
        <w:rPr>
          <w:rFonts w:ascii="Times New Roman" w:hAnsi="Times New Roman"/>
          <w:b/>
          <w:i w:val="0"/>
          <w:color w:val="000000"/>
          <w:sz w:val="22"/>
        </w:rPr>
        <w:t>Bảng 4.7: Phân tích 5 Why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Cấp độ phân tích 5 Why</w:t>
            </w:r>
          </w:p>
        </w:tc>
        <w:tc>
          <w:tcPr>
            <w:tcW w:type="dxa" w:w="453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Nội dung phân tích nguyên nhân gốc rễ</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Vấn đề trọng tâm</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 kỳ toàn trình thực tế kéo dài quá mức (CT = 51,50 giờ = 6,44 ngày làm việc), trong đó thời gian chờ đợi lãng phí chiếm 55,92% (WT = 28,80 giờ), hiệu suất chu kỳ thấp (PCE = 44,08%) và chi phí hiệu dụng trên một đối tác kích hoạt bị đội lên mức 3.943.636 VNĐ.</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1: Tại sao thời gian kích hoạt đối tác lại kéo dài đến 51,50 giờ?</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Do thời gian chờ đợi ở 3 khâu chiếm đến 28,80 giờ (55,92% CT): (1) Chờ chuyển phát hợp đồng giấy qua bưu điện mất 16,00 giờ; (2) Chờ Cấp quản lý phê duyệt tờ trình mất 8,00 giờ; (3) Chờ đối tác bổ sung hồ sơ giấy tờ lỗi mất 4,80 giờ.</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2: Tại sao thời gian chờ đợi ở các khâu này lại lớn như vậy?</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toàn bộ hồ sơ đăng ký, tờ trình phê duyệt và hợp đồng nguyên tắc đều xử lý bằng văn bản giấy vật lý, phải luân chuyển thủ công tuần tự qua 4 phòng ban độc lập và chuyển phát bưu chính truyền thống.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3: Tại sao vẫn phải sử dụng văn bản giấy mà chưa được số hóa?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Vì doanh nghiệp chưa xây dựng Cổng thông tin đối tác trực tuyến để tiếp nhận hồ sơ số hóa và chưa triển khai Hợp đồng điện tử ký số từ xa (e-Contract) theo Luật Giao dịch điện tử 2023.</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4: Tại sao hệ thống công nghệ thông tin chưa được tích hợp liên thông?</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các hệ thống phần mềm nội bộ (TMS điều độ, Quản lý mua sắm, Quản lý văn bản, Kế toán) hoạt động cục bộ, phân mảnh, thiếu cơ chế liên thông tờ trình số và thiếu kho dữ liệu dùng chung.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Cấp 5: Tại sao chưa có kiến trúc quy trình số tích hợp tổng thể?</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Do chương trình xã hội hóa vận tải ban đầu được triển khai như một giải pháp tình thế ngắn hạn để giải tỏa quá tải cục bộ, chưa được thiết kế thành một Quy trình Quản lý Chuỗi cung ứng Số chiến lược.</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Nguyên nhân gốc rễ</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 RC-01: Thiếu Hệ sinh thái công nghệ số hóa tập trung (Cổng đối tác - Phê duyệt điện tử - Hợp đồng số - TMS)</w:t>
              <w:br/>
              <w:t>• RC-02: Thiếu cơ chế chống sai lỗi Poka-Yoke và nhận dạng OCR tự động tại điểm tiếp nhận hồ sơ ban đầu</w:t>
              <w:br/>
              <w:t>• RC-03: Quy chế thẩm định kỹ thuật phương tiện còn phân tán, chưa khai thác kiểm tra dữ liệu GPS từ xa qua API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hành động cải tiến To-Be</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Xây dựng Cổng thông tin đối tác tích hợp OCR &amp; Poka-Yoke (triệt tiêu 4,80 giờ chờ bổ sung giấy tờ, nâng FTR lên &gt;95%)</w:t>
              <w:br/>
              <w:t>2. Triển khai Hợp đồng điện tử e-Contract ký số từ xa (cắt giảm 16,00 giờ chờ bưu điện xuống còn 0,5h)</w:t>
              <w:br/>
              <w:t>3. Tự động hóa luồng phê duyệt tờ trình trên ứng dụng di động (cắt giảm 8,00 giờ chờ duyệt xuống còn 0,5h)</w:t>
              <w:br/>
              <w:t>4. Tích hợp dữ liệu GPS QCVN 31:2014 qua API và tự động cấp Vendor ID trên TMS (rút ngắn CT xuống còn 15,00h = 1,88 ngày, nâng PCE lên &gt;75%)</w:t>
            </w:r>
          </w:p>
        </w:tc>
      </w:tr>
    </w:tbl>
    <w:p>
      <w:pPr>
        <w:keepNext/>
        <w:spacing w:before="160" w:after="40"/>
        <w:jc w:val="center"/>
      </w:pPr>
      <w:r>
        <w:drawing>
          <wp:inline xmlns:a="http://schemas.openxmlformats.org/drawingml/2006/main" xmlns:pic="http://schemas.openxmlformats.org/drawingml/2006/picture">
            <wp:extent cx="5669280" cy="2681416"/>
            <wp:docPr id="7" name="Picture 7"/>
            <wp:cNvGraphicFramePr>
              <a:graphicFrameLocks noChangeAspect="1"/>
            </wp:cNvGraphicFramePr>
            <a:graphic>
              <a:graphicData uri="http://schemas.openxmlformats.org/drawingml/2006/picture">
                <pic:pic>
                  <pic:nvPicPr>
                    <pic:cNvPr id="0" name="hinh10_why_why_tree.png"/>
                    <pic:cNvPicPr/>
                  </pic:nvPicPr>
                  <pic:blipFill>
                    <a:blip r:embed="rId15"/>
                    <a:stretch>
                      <a:fillRect/>
                    </a:stretch>
                  </pic:blipFill>
                  <pic:spPr>
                    <a:xfrm>
                      <a:off x="0" y="0"/>
                      <a:ext cx="5669280" cy="2681416"/>
                    </a:xfrm>
                    <a:prstGeom prst="rect"/>
                  </pic:spPr>
                </pic:pic>
              </a:graphicData>
            </a:graphic>
          </wp:inline>
        </w:drawing>
      </w:r>
    </w:p>
    <w:p>
      <w:pPr>
        <w:spacing w:before="80" w:after="240"/>
        <w:jc w:val="center"/>
      </w:pPr>
      <w:r>
        <w:rPr>
          <w:rFonts w:ascii="Times New Roman" w:hAnsi="Times New Roman"/>
          <w:b/>
          <w:i w:val="0"/>
          <w:color w:val="000000"/>
          <w:sz w:val="22"/>
        </w:rPr>
        <w:t>Hình 4.3: Sơ đồ cây nguyên nhân gốc rễ</w:t>
      </w:r>
    </w:p>
    <w:p>
      <w:pPr>
        <w:pStyle w:val="Heading2"/>
        <w:keepNext/>
        <w:spacing w:before="220" w:after="80"/>
        <w:jc w:val="left"/>
      </w:pPr>
      <w:r>
        <w:rPr>
          <w:rFonts w:ascii="Times New Roman" w:hAnsi="Times New Roman"/>
          <w:b/>
          <w:i w:val="0"/>
          <w:color w:val="000000"/>
          <w:sz w:val="27"/>
        </w:rPr>
        <w:t>4.2. Phân tích định lượng</w:t>
      </w:r>
    </w:p>
    <w:p>
      <w:pPr>
        <w:pStyle w:val="Heading3"/>
        <w:keepNext/>
        <w:spacing w:before="160" w:after="60"/>
        <w:jc w:val="left"/>
      </w:pPr>
      <w:r>
        <w:rPr>
          <w:rFonts w:ascii="Times New Roman" w:hAnsi="Times New Roman"/>
          <w:b/>
          <w:i w:val="0"/>
          <w:color w:val="000000"/>
          <w:sz w:val="25"/>
        </w:rPr>
        <w:t>4.2.1. Phân tích thời gian</w:t>
      </w:r>
    </w:p>
    <w:p>
      <w:pPr>
        <w:spacing w:before="0" w:after="120" w:line="300" w:lineRule="auto"/>
        <w:jc w:val="both"/>
      </w:pPr>
      <w:r>
        <w:rPr>
          <w:rFonts w:ascii="Times New Roman" w:hAnsi="Times New Roman"/>
          <w:color w:val="000000"/>
          <w:sz w:val="24"/>
        </w:rPr>
        <w:t>Dựa trên sơ đồ kiến trúc quy trình hiện trạng (As-Is), nhóm thực hiện áp dụng phương pháp giải tích dòng chảy (Flow Analysis) theo giáo trình quốc tế của Dumas và cộng sự (2018) [1] để đánh giá định lượng toàn diện ba chiều: Thời gian, Chất lượng và Chi phí. Các tham số thời gian xử lý thực tế (PT), thời gian chờ đợi (WT), xác suất rẽ nhánh và tỷ lệ làm lại (Rework) được tổng hợp thực chứng từ hệ thống Quản lý Vận tải (TMS) [7]. Kết quả phân tích dòng chảy xác định: Thời gian xử lý thực tế toàn chuỗi: PT = 22,70 giờ (tương đương 2,84 ngày làm việc 8 giờ). Thời gian chờ đợi lãng phí: WT = 28,80 giờ (chiếm 55,92% tổng chu kỳ CT). Thời gian chu kỳ toàn trình thực tế: CT = PT + WT = 22,70 + 28,80 = 51,50 giờ (tương đương 6,44 ngày làm việc). Hiệu suất chu kỳ quy trình: PCE = PT / CT x 100% = 22,70 / 51,50 = 44,08%. Thời gian chu kỳ lý thuyết: TCT = 22,00 giờ (2,75 ngày). Tiềm năng rút ngắn chu kỳ: CRR = 57,28%. Tỷ lệ đúng ngay từ đầu: FTR = 70,00%. Chi phí nhân sự xử lý trên một bộ hồ sơ tiếp nhận ban đầu: 2.169.000 VNĐ/hồ sơ; Chi phí hiệu dụng trên mỗi đối tác kích hoạt thành công: 3.943.636 VNĐ/đối tác.</w:t>
      </w:r>
    </w:p>
    <w:p>
      <w:pPr>
        <w:keepNext/>
        <w:spacing w:before="160" w:after="40"/>
        <w:jc w:val="center"/>
      </w:pPr>
      <w:r>
        <w:drawing>
          <wp:inline xmlns:a="http://schemas.openxmlformats.org/drawingml/2006/main" xmlns:pic="http://schemas.openxmlformats.org/drawingml/2006/picture">
            <wp:extent cx="5852160" cy="3413760"/>
            <wp:docPr id="8" name="Picture 8"/>
            <wp:cNvGraphicFramePr>
              <a:graphicFrameLocks noChangeAspect="1"/>
            </wp:cNvGraphicFramePr>
            <a:graphic>
              <a:graphicData uri="http://schemas.openxmlformats.org/drawingml/2006/picture">
                <pic:pic>
                  <pic:nvPicPr>
                    <pic:cNvPr id="0" name="Quy_trinh_quan_ly_va_lua_chon_doi_tac_cung_ung_phuong_tien_van_tai_Quantitative.png"/>
                    <pic:cNvPicPr/>
                  </pic:nvPicPr>
                  <pic:blipFill>
                    <a:blip r:embed="rId16"/>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4.4: Sơ đồ BPMN - Phân tích định lượng quy trình</w:t>
      </w:r>
    </w:p>
    <w:p>
      <w:pPr>
        <w:keepNext/>
        <w:spacing w:before="200" w:after="80"/>
        <w:jc w:val="left"/>
      </w:pPr>
      <w:r>
        <w:rPr>
          <w:rFonts w:ascii="Times New Roman" w:hAnsi="Times New Roman"/>
          <w:b/>
          <w:i w:val="0"/>
          <w:color w:val="000000"/>
          <w:sz w:val="22"/>
        </w:rPr>
        <w:t>Bảng 4.8: Phân tích thời gian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STT</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Hạng mục hoạt động / Vòng lặp quy trình</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Thời gian xử lý PT (giờ)</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Thời gian chờ WT (giờ)</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Thời gian chu kỳ CT (giờ)</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Đơn vị đo lường</w:t>
            </w:r>
          </w:p>
        </w:tc>
        <w:tc>
          <w:tcPr>
            <w:tcW w:type="dxa" w:w="1296"/>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Phương pháp tính toán và Diễn giải căn cứ nghiệp vụ vận tải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năng lực đội xe nội bộ và xác định yêu cầu</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tiêu chuẩn và phát hành thông báo mời hợp tác</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Nộp hồ sơ đăng ký hợp tác</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và kiểm tra hồ sơ sơ bộ</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Thẩm định chuyên sâu phương tiện và GPS</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độ kín nước (Light Leak, Water Spray 10p), Seal 2 lớp và kiểm tra kết nối Camera, GPS theo QCVN 31:2014/BGTVT [12].</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Lựa chọn cơ chế và thương lượng điều khoản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Xem xét và phê duyệt phương án hợp tác</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8,00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thiện và ký kết hợp đồng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3,50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16,00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19,50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Kích hoạt thông tin đối tác trên hệ thống TMS</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ngoại lệ: Bổ sung hồ sơ thiếu (tỷ lệ lỗi r = 30%)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4,80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5,10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Kỳ vọng thời gian xử lý: 30% x 1,00h = 0,30h; Kỳ vọng thời gian chờ đối tác gửi lại giấy tờ: 30% x 16,00h = 4,80h,</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Xử lý ngoại lệ: Hoàn thiện phương án trình lại (tỷ lệ lỗi r = 15%)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Chỉnh sửa, giải trình bổ sung tờ trình theo ý kiến chỉ đạo của Ban Giám đốc: 15% x 2,00h = 0,30h (WT = 0h),</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ngoại lệ: Chỉnh sửa hợp đồng sai sót (tỷ lệ lỗi r = 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Đính chính sai sót thông tin tài khoản ngân hàng hoặc phụ lục hợp đồng: 10% x 1,00h = 0,10h (WT = 0h),</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TỔNG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Toàn bộ quy trình As-Is (CT = 51,50 giờ = 6,44 ngày)</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22,70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28,80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51,50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CT = PT + WT = 22,70 + 28,80 = 51,50 giờ (6,44 ngày làm việc 8h), Hiệu suất thời gian chu kỳ: PCE = 22,70 / 51,50 x 100% = 44,08%, Tỷ lệ thời gian chờ lãng phí chiếm 55,92%,</w:t>
            </w:r>
          </w:p>
        </w:tc>
      </w:tr>
    </w:tbl>
    <w:p>
      <w:pPr>
        <w:pStyle w:val="Heading3"/>
        <w:keepNext/>
        <w:spacing w:before="160" w:after="60"/>
        <w:jc w:val="left"/>
      </w:pPr>
      <w:r>
        <w:rPr>
          <w:rFonts w:ascii="Times New Roman" w:hAnsi="Times New Roman"/>
          <w:b/>
          <w:i w:val="0"/>
          <w:color w:val="000000"/>
          <w:sz w:val="25"/>
        </w:rPr>
        <w:t>4.2.2. Phân tích chất lượng</w:t>
      </w:r>
    </w:p>
    <w:p>
      <w:pPr>
        <w:keepNext/>
        <w:spacing w:before="200" w:after="80"/>
        <w:jc w:val="left"/>
      </w:pPr>
      <w:r>
        <w:rPr>
          <w:rFonts w:ascii="Times New Roman" w:hAnsi="Times New Roman"/>
          <w:b/>
          <w:i w:val="0"/>
          <w:color w:val="000000"/>
          <w:sz w:val="22"/>
        </w:rPr>
        <w:t>Bảng 4.9: Phân tích chất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Chỉ số chất lượng</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Tỷ lệ hồ sơ đầy đủ ngay lần đầu (FTR)</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FTR = 70 / 100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phải bổ sung giấy tờ, làm phát sinh thời gian chờ 4,80h và tăng chi phí xử lý</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checklist đăng ký, áp dụng cổng nộp hồ sơ trực tuyến có kiểm tra tự động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Tỷ lệ hồ sơ vượt qua vòng thẩm định sơ bộ</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Pass_Prelim = 80 / 100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Loại bỏ 20% hồ sơ không đạt điều kiện pháp lý và phương tiện cơ bản ngay từ vòng 1</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Duy trì tiêu chuẩn sàng lọc chặt chẽ để giảm tải cho khâu thẩm định thực tế</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Tỷ lệ hồ sơ vượt qua vòng thẩm định chuyên sâu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Pass_Deep = 55 / 80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68,75</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31,25% hồ sơ vòng 2 bị loại do không đạt chuẩn kỹ thuật xe, seal niêm phong hoặc kết nối GPS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Công khai tiêu chuẩn kỹ thuật và checklist kiểm định trước khi đối tác nộp hồ sơ</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Tỷ lệ phương án được phê duyệt (Yield)</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Yield = 55 / 100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55,00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55 đối tác được phê duyệt chính thức trên 100 hồ sơ tiếp nhận ban đầu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Nâng cao chất lượng nguồn cung đầu vào để tăng tỷ lệ chuyển đổi lên mức kỳ vọng &gt;70%</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Tỷ lệ hợp đồng hợp lệ ngay lần đầu (Legal Right)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Legal_Right = 50 / 55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90,91</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9,09% hợp đồng phát sinh sai sót thông tin tài khoản hoặc điều khoản phụ lục cần chỉnh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 dụng hợp đồng điện tử mẫu chuẩn hóa, hạn chế việc tự ý sửa đổi điều khoản text</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Tỷ lệ đối tác kích hoạt trong 7 ngày (Onboard 7d)</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Onboard_7d = 45 / 55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81,82</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18,18% đối tác bị chậm tiến độ do thời gian luân chuyển hợp đồng giấy qua bưu điện (As-Is); giải pháp To-Be e-Contract giúp hoàn tất Onboarding trong &lt; 24h với tỷ lệ đạt &gt; 98%</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quy trình ký số e-Contract và kích hoạt tài khoản tự động ngay sau khi ký</w:t>
            </w:r>
          </w:p>
        </w:tc>
      </w:tr>
    </w:tbl>
    <w:p>
      <w:pPr>
        <w:pStyle w:val="Heading3"/>
        <w:keepNext/>
        <w:spacing w:before="160" w:after="60"/>
        <w:jc w:val="left"/>
      </w:pPr>
      <w:r>
        <w:rPr>
          <w:rFonts w:ascii="Times New Roman" w:hAnsi="Times New Roman"/>
          <w:b/>
          <w:i w:val="0"/>
          <w:color w:val="000000"/>
          <w:sz w:val="25"/>
        </w:rPr>
        <w:t>4.2.3. Phân tích chi phí</w:t>
      </w:r>
    </w:p>
    <w:p>
      <w:pPr>
        <w:keepNext/>
        <w:spacing w:before="200" w:after="80"/>
        <w:jc w:val="left"/>
      </w:pPr>
      <w:r>
        <w:rPr>
          <w:rFonts w:ascii="Times New Roman" w:hAnsi="Times New Roman"/>
          <w:b/>
          <w:i w:val="0"/>
          <w:color w:val="000000"/>
          <w:sz w:val="22"/>
        </w:rPr>
        <w:t>Bảng 4.10: Phân tích chi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Khoản mục chi phí</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Chi phí nhân sự 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3,00 giờ x 70.000 VNĐ/giờ</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210.000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gia đánh giá nhu cầu, xác định tiêu chuẩn xe và phối hợp thẩm định kỹ thuật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việc tổng hợp công suất trống trên hệ thống TMS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Chi phí nhân sự 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13,80 giờ x 85.000 VNĐ/giờ</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1.173.000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Chiếm tỷ trọng lớn nhất (54,1%) do chủ trì tiếp nhận, sơ bộ, chuyên sâu, đàm phán và trình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hóa chấm điểm thẩm định, rút ngắn thời gian đàm phán bằng khung giá cước chuẩn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Chi phí nhân sự Bộ phận Pháp chế và Kiểm soát tuân thủ</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3,10 giờ x 110.000 VNĐ/giờ</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341.000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 soát điều kiện pháp lý, hoàn thiện hợp đồng, kiểm tra tài khoản thanh toán và thuế</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sinh hợp đồng theo mẫu chuẩn và đồng bộ thông tin tài khoản đối tác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Chi phí nhân sự Cấp quản lý phê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2,30 giờ x 150.000 VNĐ/giờ</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345.000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Xem xét hồ sơ, rà soát hiệu quả kinh tế và ra quyết định phê duyệt phương 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cấp phê duyệt tự động trên hệ thống cho các phương án nằm trong hạn mức tiêu chuẩn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Chi phí hệ thống và lưu trữ 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Định phí phân bổ</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in ấn hồ sơ giấy, chuyển phát bưu chính hợp đồng và lưu trữ tài liệu vật lý</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đổi sang lưu trữ số hóa trên nền tảng đám mây, giảm 90% chi phí in ấn chuyển phát</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6. Tổng chi phí xử lý trên một hồ sơ tiếp nhận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các khoản mục 1 đến 5</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2.169.000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Chi phí xử lý 1 bộ hồ sơ bình quân (chưa tính tỷ lệ hao hụt do hồ sơ bị loại)</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Áp dụng tự động hóa quy trình giúp giảm chi phí xử lý hồ sơ xuống dưới 1.500.000 VNĐ</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7. Tổng chi phí trên một đối tác được kích hoạt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2.169.000 VNĐ / 55%</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3.943.636</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VNĐ/đối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Do tỷ lệ chuyển đổi là 55%, chi phí thực tế để kích hoạt 1 đối tác bị đội lên tương ứng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Tăng tỷ lệ chuyển đổi hồ sơ đạt chuẩn lên 85% sẽ giúp giảm chi phí xuống còn 2.551.000 VNĐ/đối tác</w:t>
            </w:r>
          </w:p>
        </w:tc>
      </w:tr>
    </w:tbl>
    <w:p>
      <w:pPr>
        <w:pStyle w:val="Heading1"/>
        <w:keepNext/>
        <w:spacing w:before="280" w:after="120"/>
        <w:jc w:val="left"/>
      </w:pPr>
      <w:r>
        <w:rPr>
          <w:rFonts w:ascii="Times New Roman" w:hAnsi="Times New Roman"/>
          <w:b/>
          <w:i w:val="0"/>
          <w:color w:val="000000"/>
          <w:sz w:val="30"/>
        </w:rPr>
        <w:t>5. Tài liệu tham khảo</w:t>
      </w:r>
    </w:p>
    <w:p>
      <w:pPr>
        <w:spacing w:before="0" w:after="80" w:line="300" w:lineRule="auto"/>
        <w:ind w:left="720" w:hanging="720"/>
        <w:jc w:val="both"/>
      </w:pPr>
      <w:r>
        <w:rPr>
          <w:rFonts w:ascii="Times New Roman" w:hAnsi="Times New Roman"/>
          <w:i w:val="0"/>
          <w:color w:val="000000"/>
          <w:sz w:val="24"/>
        </w:rPr>
        <w:t xml:space="preserve">[1] M. Dumas, M. La Rosa, J. Mendling, and H. A. Reijers, </w:t>
      </w:r>
      <w:r>
        <w:rPr>
          <w:rFonts w:ascii="Times New Roman" w:hAnsi="Times New Roman"/>
          <w:i/>
          <w:color w:val="000000"/>
          <w:sz w:val="24"/>
        </w:rPr>
        <w:t>Fundamentals of Business Process Management</w:t>
      </w:r>
      <w:r>
        <w:rPr>
          <w:rFonts w:ascii="Times New Roman" w:hAnsi="Times New Roman"/>
          <w:i w:val="0"/>
          <w:color w:val="000000"/>
          <w:sz w:val="24"/>
        </w:rPr>
        <w:t>, 2nd ed. Berlin, Germany: Springer-Verlag, 2018. doi: 10.1007/978-3-662-56509-4.</w:t>
      </w:r>
    </w:p>
    <w:p>
      <w:pPr>
        <w:spacing w:before="0" w:after="80" w:line="300" w:lineRule="auto"/>
        <w:ind w:left="720" w:hanging="720"/>
        <w:jc w:val="both"/>
      </w:pPr>
      <w:r>
        <w:rPr>
          <w:rFonts w:ascii="Times New Roman" w:hAnsi="Times New Roman"/>
          <w:i w:val="0"/>
          <w:color w:val="000000"/>
          <w:sz w:val="24"/>
        </w:rPr>
        <w:t xml:space="preserve">[2] M. Weske, </w:t>
      </w:r>
      <w:r>
        <w:rPr>
          <w:rFonts w:ascii="Times New Roman" w:hAnsi="Times New Roman"/>
          <w:i/>
          <w:color w:val="000000"/>
          <w:sz w:val="24"/>
        </w:rPr>
        <w:t>Business Process Management: Concepts, Languages, Architectures</w:t>
      </w:r>
      <w:r>
        <w:rPr>
          <w:rFonts w:ascii="Times New Roman" w:hAnsi="Times New Roman"/>
          <w:i w:val="0"/>
          <w:color w:val="000000"/>
          <w:sz w:val="24"/>
        </w:rPr>
        <w:t>, 3rd ed. Berlin, Germany: Springer-Verlag, 2019. doi: 10.1007/978-3-662-59432-2.</w:t>
      </w:r>
    </w:p>
    <w:p>
      <w:pPr>
        <w:spacing w:before="0" w:after="80" w:line="300" w:lineRule="auto"/>
        <w:ind w:left="720" w:hanging="720"/>
        <w:jc w:val="both"/>
      </w:pPr>
      <w:r>
        <w:rPr>
          <w:rFonts w:ascii="Times New Roman" w:hAnsi="Times New Roman"/>
          <w:i w:val="0"/>
          <w:color w:val="000000"/>
          <w:sz w:val="24"/>
        </w:rPr>
        <w:t xml:space="preserve">[3] N. Q. Việt và H. L. H. Trung, </w:t>
      </w:r>
      <w:r>
        <w:rPr>
          <w:rFonts w:ascii="Times New Roman" w:hAnsi="Times New Roman"/>
          <w:i/>
          <w:color w:val="000000"/>
          <w:sz w:val="24"/>
        </w:rPr>
        <w:t>Tài liệu bài giảng Hệ thống Quản trị Quy trình Nghiệp vụ (BPM)</w:t>
      </w:r>
      <w:r>
        <w:rPr>
          <w:rFonts w:ascii="Times New Roman" w:hAnsi="Times New Roman"/>
          <w:i w:val="0"/>
          <w:color w:val="000000"/>
          <w:sz w:val="24"/>
        </w:rPr>
        <w:t>, Khoa Hệ thống Thông tin, Trường Đại học Công nghệ Thông tin - ĐHQG-HCM, 2026.</w:t>
      </w:r>
    </w:p>
    <w:p>
      <w:pPr>
        <w:spacing w:before="0" w:after="80" w:line="300" w:lineRule="auto"/>
        <w:ind w:left="720" w:hanging="720"/>
        <w:jc w:val="both"/>
      </w:pPr>
      <w:r>
        <w:rPr>
          <w:rFonts w:ascii="Times New Roman" w:hAnsi="Times New Roman"/>
          <w:i w:val="0"/>
          <w:color w:val="000000"/>
          <w:sz w:val="24"/>
        </w:rPr>
        <w:t xml:space="preserve">[4] Viettel Logistics, "Chương trình xã hội hóa vận tải mở rộng mạng lưới cung ứng phương tiện," </w:t>
      </w:r>
      <w:r>
        <w:rPr>
          <w:rFonts w:ascii="Times New Roman" w:hAnsi="Times New Roman"/>
          <w:i/>
          <w:color w:val="000000"/>
          <w:sz w:val="24"/>
        </w:rPr>
        <w:t>Viettel Logistics Official Portal</w:t>
      </w:r>
      <w:r>
        <w:rPr>
          <w:rFonts w:ascii="Times New Roman" w:hAnsi="Times New Roman"/>
          <w:i w:val="0"/>
          <w:color w:val="000000"/>
          <w:sz w:val="24"/>
        </w:rPr>
        <w:t>, 2026. [Online]. Available: https://viettellogistics.com.vn/vi/news/specialized-news/Viettel-logistics-xa-hoi-hoa-van-tai. [Accessed: Aug. 18, 2026].</w:t>
      </w:r>
    </w:p>
    <w:p>
      <w:pPr>
        <w:spacing w:before="0" w:after="80" w:line="300" w:lineRule="auto"/>
        <w:ind w:left="720" w:hanging="720"/>
        <w:jc w:val="both"/>
      </w:pPr>
      <w:r>
        <w:rPr>
          <w:rFonts w:ascii="Times New Roman" w:hAnsi="Times New Roman"/>
          <w:i w:val="0"/>
          <w:color w:val="000000"/>
          <w:sz w:val="24"/>
        </w:rPr>
        <w:t xml:space="preserve">[5] Viettel Logistics, "Thư ngỏ mời hợp tác cung ứng phương tiện vận tải đường bộ phục vụ mạng lưới chuyển phát," </w:t>
      </w:r>
      <w:r>
        <w:rPr>
          <w:rFonts w:ascii="Times New Roman" w:hAnsi="Times New Roman"/>
          <w:i/>
          <w:color w:val="000000"/>
          <w:sz w:val="24"/>
        </w:rPr>
        <w:t>Viettel Logistics Official Portal</w:t>
      </w:r>
      <w:r>
        <w:rPr>
          <w:rFonts w:ascii="Times New Roman" w:hAnsi="Times New Roman"/>
          <w:i w:val="0"/>
          <w:color w:val="000000"/>
          <w:sz w:val="24"/>
        </w:rPr>
        <w:t>, 20/06/2026. [Online]. Available: https://viettellogistics.com.vn/vi/news/market-news/thu-ngo-moi-hop-tac-cung-ung-phuong-tien-van-tai. [Accessed: Aug. 18, 2026].</w:t>
      </w:r>
    </w:p>
    <w:p>
      <w:pPr>
        <w:spacing w:before="0" w:after="80" w:line="300" w:lineRule="auto"/>
        <w:ind w:left="720" w:hanging="720"/>
        <w:jc w:val="both"/>
      </w:pPr>
      <w:r>
        <w:rPr>
          <w:rFonts w:ascii="Times New Roman" w:hAnsi="Times New Roman"/>
          <w:i w:val="0"/>
          <w:color w:val="000000"/>
          <w:sz w:val="24"/>
        </w:rPr>
        <w:t xml:space="preserve">[6] Viettel Logistics, "Thông báo nhu cầu thuê xe container lạnh và container khô tiêu chuẩn 48 feet và 53 feet," </w:t>
      </w:r>
      <w:r>
        <w:rPr>
          <w:rFonts w:ascii="Times New Roman" w:hAnsi="Times New Roman"/>
          <w:i/>
          <w:color w:val="000000"/>
          <w:sz w:val="24"/>
        </w:rPr>
        <w:t>Viettel Logistics Official Portal</w:t>
      </w:r>
      <w:r>
        <w:rPr>
          <w:rFonts w:ascii="Times New Roman" w:hAnsi="Times New Roman"/>
          <w:i w:val="0"/>
          <w:color w:val="000000"/>
          <w:sz w:val="24"/>
        </w:rPr>
        <w:t>, 2026. [Online]. Available: https://viettellogistics.com.vn/vi/news/market-news/thu-ngo-viettel-logistics-tim-doi-tac-cung-ung-phuong-tien-van-tai. [Accessed: Aug. 18, 2026].</w:t>
      </w:r>
    </w:p>
    <w:p>
      <w:pPr>
        <w:spacing w:before="0" w:after="80" w:line="300" w:lineRule="auto"/>
        <w:ind w:left="720" w:hanging="720"/>
        <w:jc w:val="both"/>
      </w:pPr>
      <w:r>
        <w:rPr>
          <w:rFonts w:ascii="Times New Roman" w:hAnsi="Times New Roman"/>
          <w:i w:val="0"/>
          <w:color w:val="000000"/>
          <w:sz w:val="24"/>
        </w:rPr>
        <w:t xml:space="preserve">[7] Tổng công ty Cổ phần Bưu chính Viettel (Viettel Post), "Hệ thống Quản lý Vận tải TMS và giải pháp điều phối Logistics thông minh," </w:t>
      </w:r>
      <w:r>
        <w:rPr>
          <w:rFonts w:ascii="Times New Roman" w:hAnsi="Times New Roman"/>
          <w:i/>
          <w:color w:val="000000"/>
          <w:sz w:val="24"/>
        </w:rPr>
        <w:t>Viettel Logistics Internal News</w:t>
      </w:r>
      <w:r>
        <w:rPr>
          <w:rFonts w:ascii="Times New Roman" w:hAnsi="Times New Roman"/>
          <w:i w:val="0"/>
          <w:color w:val="000000"/>
          <w:sz w:val="24"/>
        </w:rPr>
        <w:t>, 2026. [Online]. Available: https://viettellogistics.com.vn/vi/news/internal-news/vt-post-tao-dau-an-cong-nghe-voi-he-thong-quan-ly-logistics-tai-trien-lam-quoc-te. [Accessed: Aug. 18, 2026].</w:t>
      </w:r>
    </w:p>
    <w:p>
      <w:pPr>
        <w:spacing w:before="0" w:after="80" w:line="300" w:lineRule="auto"/>
        <w:ind w:left="720" w:hanging="720"/>
        <w:jc w:val="both"/>
      </w:pPr>
      <w:r>
        <w:rPr>
          <w:rFonts w:ascii="Times New Roman" w:hAnsi="Times New Roman"/>
          <w:i w:val="0"/>
          <w:color w:val="000000"/>
          <w:sz w:val="24"/>
        </w:rPr>
        <w:t xml:space="preserve">[8] Chính phủ nước CHXHCN Việt Nam, "Nghị định số 10/2020/NĐ-CP ngày 17/01/2020 quy định về kinh doanh và điều kiện kinh doanh vận tải bằng xe ô tô," </w:t>
      </w:r>
      <w:r>
        <w:rPr>
          <w:rFonts w:ascii="Times New Roman" w:hAnsi="Times New Roman"/>
          <w:i/>
          <w:color w:val="000000"/>
          <w:sz w:val="24"/>
        </w:rPr>
        <w:t>Cổng Thông tin điện tử Chính phủ</w:t>
      </w:r>
      <w:r>
        <w:rPr>
          <w:rFonts w:ascii="Times New Roman" w:hAnsi="Times New Roman"/>
          <w:i w:val="0"/>
          <w:color w:val="000000"/>
          <w:sz w:val="24"/>
        </w:rPr>
        <w:t>, 2020. [Online]. Available: https://vanban.chinhphu.vn/default.aspx?pageid=27160. [Accessed: Aug. 18, 2026].</w:t>
      </w:r>
    </w:p>
    <w:p>
      <w:pPr>
        <w:spacing w:before="0" w:after="80" w:line="300" w:lineRule="auto"/>
        <w:ind w:left="720" w:hanging="720"/>
        <w:jc w:val="both"/>
      </w:pPr>
      <w:r>
        <w:rPr>
          <w:rFonts w:ascii="Times New Roman" w:hAnsi="Times New Roman"/>
          <w:i w:val="0"/>
          <w:color w:val="000000"/>
          <w:sz w:val="24"/>
        </w:rPr>
        <w:t xml:space="preserve">[9] Chính phủ nước CHXHCN Việt Nam, "Nghị định số 41/2024/NĐ-CP ngày 16/04/2024 sửa đổi, bổ sung một số điều của các Nghị định liên quan đến quản lý hoạt động vận tải bằng xe ô tô," </w:t>
      </w:r>
      <w:r>
        <w:rPr>
          <w:rFonts w:ascii="Times New Roman" w:hAnsi="Times New Roman"/>
          <w:i/>
          <w:color w:val="000000"/>
          <w:sz w:val="24"/>
        </w:rPr>
        <w:t>Cổng Thông tin điện tử Chính phủ</w:t>
      </w:r>
      <w:r>
        <w:rPr>
          <w:rFonts w:ascii="Times New Roman" w:hAnsi="Times New Roman"/>
          <w:i w:val="0"/>
          <w:color w:val="000000"/>
          <w:sz w:val="24"/>
        </w:rPr>
        <w:t>, 2024. [Online]. Available: https://vanban.chinhphu.vn/default.aspx?pageid=27160. [Accessed: Aug. 18, 2026].</w:t>
      </w:r>
    </w:p>
    <w:p>
      <w:pPr>
        <w:spacing w:before="0" w:after="80" w:line="300" w:lineRule="auto"/>
        <w:ind w:left="720" w:hanging="720"/>
        <w:jc w:val="both"/>
      </w:pPr>
      <w:r>
        <w:rPr>
          <w:rFonts w:ascii="Times New Roman" w:hAnsi="Times New Roman"/>
          <w:i w:val="0"/>
          <w:color w:val="000000"/>
          <w:sz w:val="24"/>
        </w:rPr>
        <w:t xml:space="preserve">[10] Chính phủ nước CHXHCN Việt Nam, "Nghị định số 67/2023/NĐ-CP ngày 06/09/2023 quy định về bảo hiểm bắt buộc trách nhiệm dân sự của chủ xe cơ giới," </w:t>
      </w:r>
      <w:r>
        <w:rPr>
          <w:rFonts w:ascii="Times New Roman" w:hAnsi="Times New Roman"/>
          <w:i/>
          <w:color w:val="000000"/>
          <w:sz w:val="24"/>
        </w:rPr>
        <w:t>Cổng Thông tin điện tử Chính phủ</w:t>
      </w:r>
      <w:r>
        <w:rPr>
          <w:rFonts w:ascii="Times New Roman" w:hAnsi="Times New Roman"/>
          <w:i w:val="0"/>
          <w:color w:val="000000"/>
          <w:sz w:val="24"/>
        </w:rPr>
        <w:t>, 2023. [Online]. Available: https://vanban.chinhphu.vn/default.aspx?pageid=27160. [Accessed: Aug. 18, 2026].</w:t>
      </w:r>
    </w:p>
    <w:p>
      <w:pPr>
        <w:spacing w:before="0" w:after="80" w:line="300" w:lineRule="auto"/>
        <w:ind w:left="720" w:hanging="720"/>
        <w:jc w:val="both"/>
      </w:pPr>
      <w:r>
        <w:rPr>
          <w:rFonts w:ascii="Times New Roman" w:hAnsi="Times New Roman"/>
          <w:i w:val="0"/>
          <w:color w:val="000000"/>
          <w:sz w:val="24"/>
        </w:rPr>
        <w:t xml:space="preserve">[11] Chính phủ nước CHXHCN Việt Nam, "Nghị định số 47/2022/NĐ-CP ngày 19/07/2022 sửa đổi, bổ sung một số điều của Nghị định số 10/2020/NĐ-CP về lắp đặt camera giám sát hành trình," </w:t>
      </w:r>
      <w:r>
        <w:rPr>
          <w:rFonts w:ascii="Times New Roman" w:hAnsi="Times New Roman"/>
          <w:i/>
          <w:color w:val="000000"/>
          <w:sz w:val="24"/>
        </w:rPr>
        <w:t>Cổng Thông tin điện tử Chính phủ</w:t>
      </w:r>
      <w:r>
        <w:rPr>
          <w:rFonts w:ascii="Times New Roman" w:hAnsi="Times New Roman"/>
          <w:i w:val="0"/>
          <w:color w:val="000000"/>
          <w:sz w:val="24"/>
        </w:rPr>
        <w:t>, 2022. [Online]. Available: https://vanban.chinhphu.vn/default.aspx?pageid=27160. [Accessed: Aug. 18, 2026].</w:t>
      </w:r>
    </w:p>
    <w:p>
      <w:pPr>
        <w:spacing w:before="0" w:after="80" w:line="300" w:lineRule="auto"/>
        <w:ind w:left="720" w:hanging="720"/>
        <w:jc w:val="both"/>
      </w:pPr>
      <w:r>
        <w:rPr>
          <w:rFonts w:ascii="Times New Roman" w:hAnsi="Times New Roman"/>
          <w:i w:val="0"/>
          <w:color w:val="000000"/>
          <w:sz w:val="24"/>
        </w:rPr>
        <w:t>[12] Bộ Giao thông Vận tải, "Quy chuẩn kỹ thuật quốc gia về thiết bị giám sát hành trình của xe ô tô (QCVN 31:2014/BGTVT)," Ban hành kèm theo Thông tư số 73/2014/TT-BGTVT ngày 15/12/2014 của Bộ GTVT, Hà Nội, Việt Nam, 2014.</w:t>
      </w:r>
    </w:p>
    <w:p>
      <w:pPr>
        <w:spacing w:before="0" w:after="80" w:line="300" w:lineRule="auto"/>
        <w:ind w:left="720" w:hanging="720"/>
        <w:jc w:val="both"/>
      </w:pPr>
      <w:r>
        <w:rPr>
          <w:rFonts w:ascii="Times New Roman" w:hAnsi="Times New Roman"/>
          <w:i w:val="0"/>
          <w:color w:val="000000"/>
          <w:sz w:val="24"/>
        </w:rPr>
        <w:t xml:space="preserve">[13] Quốc hội nước CHXHCN Việt Nam, "Luật Giao dịch điện tử số 20/2023/QH15 ngày 22/06/2023," </w:t>
      </w:r>
      <w:r>
        <w:rPr>
          <w:rFonts w:ascii="Times New Roman" w:hAnsi="Times New Roman"/>
          <w:i/>
          <w:color w:val="000000"/>
          <w:sz w:val="24"/>
        </w:rPr>
        <w:t>Cổng Thông tin điện tử Chính phủ</w:t>
      </w:r>
      <w:r>
        <w:rPr>
          <w:rFonts w:ascii="Times New Roman" w:hAnsi="Times New Roman"/>
          <w:i w:val="0"/>
          <w:color w:val="000000"/>
          <w:sz w:val="24"/>
        </w:rPr>
        <w:t>, Hà Nội, Việt Nam, 2023. [Online]. Available: https://vanban.chinhphu.vn/default.aspx?pageid=27160. [Accessed: Aug. 18, 2026].</w:t>
      </w:r>
    </w:p>
    <w:p>
      <w:pPr>
        <w:spacing w:before="0" w:after="80" w:line="300" w:lineRule="auto"/>
        <w:ind w:left="720" w:hanging="720"/>
        <w:jc w:val="both"/>
      </w:pPr>
      <w:r>
        <w:rPr>
          <w:rFonts w:ascii="Times New Roman" w:hAnsi="Times New Roman"/>
          <w:i w:val="0"/>
          <w:color w:val="000000"/>
          <w:sz w:val="24"/>
        </w:rPr>
        <w:t xml:space="preserve">[14] Bộ Giao thông Vận tải, "Thông tư số 16/2021/TT-BGTVT ngày 12/08/2021 quy định về kiểm định an toàn kỹ thuật và bảo vệ môi trường phương tiện giao thông cơ giới đường bộ," </w:t>
      </w:r>
      <w:r>
        <w:rPr>
          <w:rFonts w:ascii="Times New Roman" w:hAnsi="Times New Roman"/>
          <w:i/>
          <w:color w:val="000000"/>
          <w:sz w:val="24"/>
        </w:rPr>
        <w:t>Cổng Thông tin điện tử Bộ GTVT</w:t>
      </w:r>
      <w:r>
        <w:rPr>
          <w:rFonts w:ascii="Times New Roman" w:hAnsi="Times New Roman"/>
          <w:i w:val="0"/>
          <w:color w:val="000000"/>
          <w:sz w:val="24"/>
        </w:rPr>
        <w:t>, Hà Nội, Việt Nam, 2021.</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