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30"/>
          <w:szCs w:val="30"/>
        </w:rPr>
        <w:t xml:space="preserve">BÁO CÁO PHÂN TÍCH CHI TIẾT</w:t>
      </w:r>
    </w:p>
    <w:p>
      <w:pPr>
        <w:spacing w:after="400" w:before="0"/>
        <w:jc w:val="center"/>
      </w:pPr>
      <w:r>
        <w:rPr>
          <w:rFonts w:ascii="Times New Roman" w:cs="Times New Roman" w:eastAsia="Times New Roman" w:hAnsi="Times New Roman"/>
          <w:b/>
          <w:bCs/>
          <w:sz w:val="30"/>
          <w:szCs w:val="30"/>
        </w:rPr>
        <w:t xml:space="preserve">QUY TRÌNH VẬN CHUYỂN LIÊN TỈNH VIETTEL POST</w:t>
      </w:r>
    </w:p>
    <w:p>
      <w:pPr>
        <w:spacing w:after="100" w:before="280"/>
      </w:pPr>
      <w:r>
        <w:rPr>
          <w:rFonts w:ascii="Times New Roman" w:cs="Times New Roman" w:eastAsia="Times New Roman" w:hAnsi="Times New Roman"/>
          <w:b/>
          <w:bCs/>
          <w:color w:val="000000"/>
          <w:sz w:val="26"/>
          <w:szCs w:val="26"/>
        </w:rPr>
        <w:t xml:space="preserve">3.1. Quy trình vận chuyển liên tỉnh</w:t>
      </w:r>
    </w:p>
    <w:p>
      <w:pPr>
        <w:spacing w:after="80" w:before="200"/>
      </w:pPr>
      <w:r>
        <w:rPr>
          <w:rFonts w:ascii="Times New Roman" w:cs="Times New Roman" w:eastAsia="Times New Roman" w:hAnsi="Times New Roman"/>
          <w:b/>
          <w:bCs/>
          <w:color w:val="000000"/>
          <w:sz w:val="24"/>
          <w:szCs w:val="24"/>
        </w:rPr>
        <w:t xml:space="preserve">3.1.1. Mô tả quy trình</w:t>
      </w:r>
    </w:p>
    <w:p>
      <w:pPr>
        <w:spacing w:after="60" w:before="60"/>
      </w:pPr>
      <w:r>
        <w:rPr>
          <w:rFonts w:ascii="Times New Roman" w:cs="Times New Roman" w:eastAsia="Times New Roman" w:hAnsi="Times New Roman"/>
          <w:sz w:val="24"/>
          <w:szCs w:val="24"/>
        </w:rPr>
        <w:t xml:space="preserve">Dựa trên mô hình nghiệp vụ BPMN, quy trình vận chuyển liên tỉnh của Viettel Post là một chuỗi cung ứng khép kín, bắt đầu từ khi Khách hàng phát sinh nhu cầu và thực hiện chuẩn bị hàng hóa, đăng ký gửi hàng trên hệ thống.</w:t>
      </w:r>
    </w:p>
    <w:p>
      <w:pPr>
        <w:spacing w:after="40" w:before="40"/>
      </w:pPr>
    </w:p>
    <w:p>
      <w:pPr>
        <w:spacing w:after="60" w:before="60"/>
      </w:pPr>
      <w:r>
        <w:rPr>
          <w:rFonts w:ascii="Times New Roman" w:cs="Times New Roman" w:eastAsia="Times New Roman" w:hAnsi="Times New Roman"/>
          <w:sz w:val="24"/>
          <w:szCs w:val="24"/>
        </w:rPr>
        <w:t xml:space="preserve">Tại Bưu cục gửi, nhân viên tiếp nhận yêu cầu và tiến hành kiểm tra thông tin người gửi cũng như tình trạng thực tế của hàng hóa. Nếu không hợp lệ, giao dịch sẽ bị từ chối. Ngược lại, nhân viên thực hiện tạo vận đơn, thu phí hoặc xác nhận thanh toán và tiếp nhận hàng vào kho. Hàng hóa sau đó được phân loại sơ bộ và bàn giao cho Trung tâm khai thác. Tại đây, các chuyên viên thực hiện kiểm tra, phân loại chuyên sâu theo tuyến và lập bảng kê vận chuyển để tối ưu hóa tải trọng trước khi bàn giao cho xe liên tỉnh.</w:t>
      </w:r>
    </w:p>
    <w:p>
      <w:pPr>
        <w:spacing w:after="40" w:before="40"/>
      </w:pPr>
    </w:p>
    <w:p>
      <w:pPr>
        <w:spacing w:after="60" w:before="60"/>
      </w:pPr>
      <w:r>
        <w:rPr>
          <w:rFonts w:ascii="Times New Roman" w:cs="Times New Roman" w:eastAsia="Times New Roman" w:hAnsi="Times New Roman"/>
          <w:sz w:val="24"/>
          <w:szCs w:val="24"/>
        </w:rPr>
        <w:t xml:space="preserve">Giai đoạn vận chuyển trục được thực hiện qua Trung tâm trung chuyển, nơi hàng hóa được tiếp nhận tại điểm đến và phân loại về các Bưu cục phát mục tiêu. Tại bưu cục phát, sau khi tiếp nhận hàng, quản lý sẽ lập danh sách giao hàng và phân công cho Nhân viên giao hàng.</w:t>
      </w:r>
    </w:p>
    <w:p>
      <w:pPr>
        <w:spacing w:after="40" w:before="40"/>
      </w:pPr>
    </w:p>
    <w:p>
      <w:pPr>
        <w:spacing w:after="60" w:before="60"/>
      </w:pPr>
      <w:r>
        <w:rPr>
          <w:rFonts w:ascii="Times New Roman" w:cs="Times New Roman" w:eastAsia="Times New Roman" w:hAnsi="Times New Roman"/>
          <w:sz w:val="24"/>
          <w:szCs w:val="24"/>
        </w:rPr>
        <w:t xml:space="preserve">Ở chặng cuối (Last-mile delivery), nhân viên giao hàng thực hiện phát hàng đến địa chỉ người nhận. Tại Pool Người nhận, khách hàng kiểm tra hàng hóa:</w:t>
      </w:r>
    </w:p>
    <w:p>
      <w:pPr>
        <w:pStyle w:val="ListParagraph"/>
        <w:numPr>
          <w:ilvl w:val="0"/>
          <w:numId w:val="1"/>
        </w:numPr>
        <w:spacing w:after="40" w:before="40"/>
        <w:ind w:left="360" w:hanging="360"/>
      </w:pPr>
      <w:r>
        <w:rPr>
          <w:rFonts w:ascii="Times New Roman" w:cs="Times New Roman" w:eastAsia="Times New Roman" w:hAnsi="Times New Roman"/>
          <w:sz w:val="24"/>
          <w:szCs w:val="24"/>
        </w:rPr>
        <w:t xml:space="preserve">Nếu từ chối nhận: Hệ thống kiểm tra gateway "Phát lại?". Nếu không phát lại, đơn hàng sẽ được thực hiện tác vụ Cập nhật trạng thái hoàn.</w:t>
      </w:r>
    </w:p>
    <w:p>
      <w:pPr>
        <w:pStyle w:val="ListParagraph"/>
        <w:numPr>
          <w:ilvl w:val="0"/>
          <w:numId w:val="1"/>
        </w:numPr>
        <w:spacing w:after="40" w:before="40"/>
        <w:ind w:left="360" w:hanging="360"/>
      </w:pPr>
      <w:r>
        <w:rPr>
          <w:rFonts w:ascii="Times New Roman" w:cs="Times New Roman" w:eastAsia="Times New Roman" w:hAnsi="Times New Roman"/>
          <w:sz w:val="24"/>
          <w:szCs w:val="24"/>
        </w:rPr>
        <w:t xml:space="preserve">Nếu đồng ý nhận: Nhân viên kiểm tra điều kiện COD. Nếu có thu hộ, thực hiện thu tiền, Cập nhật trạng thái giao hàng thành công và tiến hành đối soát COD trước khi kết thúc quy trình. Nếu không có COD, trạng thái thành công được cập nhật ngay để đóng vận đơn.</w:t>
      </w:r>
    </w:p>
    <w:p>
      <w:pPr>
        <w:spacing w:after="40" w:before="40"/>
      </w:pPr>
    </w:p>
    <w:p>
      <w:pPr>
        <w:spacing w:after="80" w:before="200"/>
      </w:pPr>
      <w:r>
        <w:rPr>
          <w:rFonts w:ascii="Times New Roman" w:cs="Times New Roman" w:eastAsia="Times New Roman" w:hAnsi="Times New Roman"/>
          <w:b/>
          <w:bCs/>
          <w:color w:val="000000"/>
          <w:sz w:val="24"/>
          <w:szCs w:val="24"/>
        </w:rPr>
        <w:t xml:space="preserve">3.1.2. Phân tích quy trình</w:t>
      </w:r>
    </w:p>
    <w:p>
      <w:pPr>
        <w:spacing w:after="60" w:before="60"/>
      </w:pPr>
      <w:r>
        <w:rPr>
          <w:rFonts w:ascii="Times New Roman" w:cs="Times New Roman" w:eastAsia="Times New Roman" w:hAnsi="Times New Roman"/>
          <w:sz w:val="24"/>
          <w:szCs w:val="24"/>
        </w:rPr>
        <w:t xml:space="preserve">Dưới đây là các thành phần cốt lõi cấu thành nên quy trình vận chuyển liên tỉnh theo tiêu chuẩn BPMN:</w:t>
      </w:r>
    </w:p>
    <w:p>
      <w:pPr>
        <w:spacing w:after="40" w:before="40"/>
      </w:pPr>
    </w:p>
    <w:p>
      <w:pPr>
        <w:pStyle w:val="ListParagraph"/>
        <w:numPr>
          <w:ilvl w:val="0"/>
          <w:numId w:val="1"/>
        </w:numPr>
        <w:spacing w:after="40" w:before="40"/>
        <w:ind w:left="360" w:hanging="360"/>
      </w:pPr>
      <w:r>
        <w:rPr>
          <w:rFonts w:ascii="Times New Roman" w:cs="Times New Roman" w:eastAsia="Times New Roman" w:hAnsi="Times New Roman"/>
          <w:b/>
          <w:bCs/>
          <w:sz w:val="24"/>
          <w:szCs w:val="24"/>
        </w:rPr>
        <w:t xml:space="preserve">Các tác nhân tham gia quy trình:</w:t>
      </w:r>
    </w:p>
    <w:p>
      <w:pPr>
        <w:pStyle w:val="ListParagraph"/>
        <w:numPr>
          <w:ilvl w:val="1"/>
          <w:numId w:val="1"/>
        </w:numPr>
        <w:spacing w:after="40" w:before="40"/>
        <w:ind w:left="720" w:hanging="360"/>
      </w:pPr>
      <w:r>
        <w:rPr>
          <w:rFonts w:ascii="Times New Roman" w:cs="Times New Roman" w:eastAsia="Times New Roman" w:hAnsi="Times New Roman"/>
          <w:sz w:val="24"/>
          <w:szCs w:val="24"/>
        </w:rPr>
        <w:t xml:space="preserve">Pool 1 – Khách hàng: Tác nhân kích hoạt quy trình.</w:t>
      </w:r>
    </w:p>
    <w:p>
      <w:pPr>
        <w:pStyle w:val="ListParagraph"/>
        <w:numPr>
          <w:ilvl w:val="1"/>
          <w:numId w:val="1"/>
        </w:numPr>
        <w:spacing w:after="40" w:before="40"/>
        <w:ind w:left="720" w:hanging="360"/>
      </w:pPr>
      <w:r>
        <w:rPr>
          <w:rFonts w:ascii="Times New Roman" w:cs="Times New Roman" w:eastAsia="Times New Roman" w:hAnsi="Times New Roman"/>
          <w:sz w:val="24"/>
          <w:szCs w:val="24"/>
        </w:rPr>
        <w:t xml:space="preserve">Pool 2 – Viettel Post: Đơn vị thực hiện dịch vụ, bao gồm 5 Lanes nội bộ: (1) Bưu cục gửi, (2) Trung tâm khai thác, (3) Trung tâm trung chuyển, (4) Bưu cục phát, (5) Nhân viên giao hàng.</w:t>
      </w:r>
    </w:p>
    <w:p>
      <w:pPr>
        <w:pStyle w:val="ListParagraph"/>
        <w:numPr>
          <w:ilvl w:val="1"/>
          <w:numId w:val="1"/>
        </w:numPr>
        <w:spacing w:after="40" w:before="40"/>
        <w:ind w:left="720" w:hanging="360"/>
      </w:pPr>
      <w:r>
        <w:rPr>
          <w:rFonts w:ascii="Times New Roman" w:cs="Times New Roman" w:eastAsia="Times New Roman" w:hAnsi="Times New Roman"/>
          <w:sz w:val="24"/>
          <w:szCs w:val="24"/>
        </w:rPr>
        <w:t xml:space="preserve">Pool 3 – Người nhận: Đối tượng tương tác cuối của quy trình.</w:t>
      </w:r>
    </w:p>
    <w:p>
      <w:pPr>
        <w:pStyle w:val="ListParagraph"/>
        <w:numPr>
          <w:ilvl w:val="0"/>
          <w:numId w:val="1"/>
        </w:numPr>
        <w:spacing w:after="40" w:before="40"/>
        <w:ind w:left="360" w:hanging="360"/>
      </w:pPr>
      <w:r>
        <w:rPr>
          <w:rFonts w:ascii="Times New Roman" w:cs="Times New Roman" w:eastAsia="Times New Roman" w:hAnsi="Times New Roman"/>
          <w:b/>
          <w:bCs/>
          <w:sz w:val="24"/>
          <w:szCs w:val="24"/>
        </w:rPr>
        <w:t xml:space="preserve">Đối tượng thụ hưởng và Tác nhân kích hoạt: </w:t>
      </w:r>
      <w:r>
        <w:rPr>
          <w:rFonts w:ascii="Times New Roman" w:cs="Times New Roman" w:eastAsia="Times New Roman" w:hAnsi="Times New Roman"/>
          <w:sz w:val="24"/>
          <w:szCs w:val="24"/>
        </w:rPr>
        <w:t xml:space="preserve">Khách hàng gửi hàng là tác nhân khởi tạo; Người nhận và người gửi là đối tượng thụ hưởng giá trị dịch vụ lưu chuyển hàng hóa.</w:t>
      </w:r>
    </w:p>
    <w:p>
      <w:pPr>
        <w:pStyle w:val="ListParagraph"/>
        <w:numPr>
          <w:ilvl w:val="0"/>
          <w:numId w:val="1"/>
        </w:numPr>
        <w:spacing w:after="40" w:before="40"/>
        <w:ind w:left="360" w:hanging="360"/>
      </w:pPr>
      <w:r>
        <w:rPr>
          <w:rFonts w:ascii="Times New Roman" w:cs="Times New Roman" w:eastAsia="Times New Roman" w:hAnsi="Times New Roman"/>
          <w:b/>
          <w:bCs/>
          <w:sz w:val="24"/>
          <w:szCs w:val="24"/>
        </w:rPr>
        <w:t xml:space="preserve">Giá trị mà quy trình mang lại: </w:t>
      </w:r>
      <w:r>
        <w:rPr>
          <w:rFonts w:ascii="Times New Roman" w:cs="Times New Roman" w:eastAsia="Times New Roman" w:hAnsi="Times New Roman"/>
          <w:sz w:val="24"/>
          <w:szCs w:val="24"/>
        </w:rPr>
        <w:t xml:space="preserve">Tối ưu hóa Lead-time vận chuyển liên tỉnh, đảm bảo an toàn hàng hóa qua hệ thống phân loại chuyên nghiệp và cung cấp giải pháp tài chính tin cậy thông qua nghiệp vụ đối soát COD.</w:t>
      </w:r>
    </w:p>
    <w:p>
      <w:pPr>
        <w:pStyle w:val="ListParagraph"/>
        <w:numPr>
          <w:ilvl w:val="0"/>
          <w:numId w:val="1"/>
        </w:numPr>
        <w:spacing w:after="40" w:before="40"/>
        <w:ind w:left="360" w:hanging="360"/>
      </w:pPr>
      <w:r>
        <w:rPr>
          <w:rFonts w:ascii="Times New Roman" w:cs="Times New Roman" w:eastAsia="Times New Roman" w:hAnsi="Times New Roman"/>
          <w:b/>
          <w:bCs/>
          <w:sz w:val="24"/>
          <w:szCs w:val="24"/>
        </w:rPr>
        <w:t xml:space="preserve">Những kết quả có thể đạt được (Outcomes):</w:t>
      </w:r>
    </w:p>
    <w:p>
      <w:pPr>
        <w:pStyle w:val="ListParagraph"/>
        <w:numPr>
          <w:ilvl w:val="1"/>
          <w:numId w:val="1"/>
        </w:numPr>
        <w:spacing w:after="40" w:before="40"/>
        <w:ind w:left="720" w:hanging="360"/>
      </w:pPr>
      <w:r>
        <w:rPr>
          <w:rFonts w:ascii="Times New Roman" w:cs="Times New Roman" w:eastAsia="Times New Roman" w:hAnsi="Times New Roman"/>
          <w:sz w:val="24"/>
          <w:szCs w:val="24"/>
        </w:rPr>
        <w:t xml:space="preserve">Giao hàng thành công: Hoàn tất lưu chuyển và thu hồi dòng tiền (nếu có).</w:t>
      </w:r>
    </w:p>
    <w:p>
      <w:pPr>
        <w:pStyle w:val="ListParagraph"/>
        <w:numPr>
          <w:ilvl w:val="1"/>
          <w:numId w:val="1"/>
        </w:numPr>
        <w:spacing w:after="40" w:before="40"/>
        <w:ind w:left="720" w:hanging="360"/>
      </w:pPr>
      <w:r>
        <w:rPr>
          <w:rFonts w:ascii="Times New Roman" w:cs="Times New Roman" w:eastAsia="Times New Roman" w:hAnsi="Times New Roman"/>
          <w:sz w:val="24"/>
          <w:szCs w:val="24"/>
        </w:rPr>
        <w:t xml:space="preserve">Cập nhật trạng thái hoàn: Kết thúc quy trình khi hàng không thể giao và chuyển trả.</w:t>
      </w:r>
    </w:p>
    <w:p>
      <w:pPr>
        <w:pStyle w:val="ListParagraph"/>
        <w:numPr>
          <w:ilvl w:val="1"/>
          <w:numId w:val="1"/>
        </w:numPr>
        <w:spacing w:after="40" w:before="40"/>
        <w:ind w:left="720" w:hanging="360"/>
      </w:pPr>
      <w:r>
        <w:rPr>
          <w:rFonts w:ascii="Times New Roman" w:cs="Times New Roman" w:eastAsia="Times New Roman" w:hAnsi="Times New Roman"/>
          <w:sz w:val="24"/>
          <w:szCs w:val="24"/>
        </w:rPr>
        <w:t xml:space="preserve">Yêu cầu phát lại: Trạng thái chờ xử lý lại khi lần giao đầu không thành công nhưng đủ điều kiện tái phát.</w:t>
      </w:r>
    </w:p>
    <w:p>
      <w:pPr>
        <w:spacing w:after="40" w:before="40"/>
      </w:pPr>
    </w:p>
    <w:p>
      <w:pPr>
        <w:spacing w:after="80" w:before="200"/>
      </w:pPr>
      <w:r>
        <w:rPr>
          <w:rFonts w:ascii="Times New Roman" w:cs="Times New Roman" w:eastAsia="Times New Roman" w:hAnsi="Times New Roman"/>
          <w:b/>
          <w:bCs/>
          <w:color w:val="000000"/>
          <w:sz w:val="24"/>
          <w:szCs w:val="24"/>
        </w:rPr>
        <w:t xml:space="preserve">3.1.3. Phân tích định tính</w:t>
      </w:r>
    </w:p>
    <w:p>
      <w:pPr>
        <w:spacing w:after="60" w:before="160"/>
      </w:pPr>
      <w:r>
        <w:rPr>
          <w:rFonts w:ascii="Times New Roman" w:cs="Times New Roman" w:eastAsia="Times New Roman" w:hAnsi="Times New Roman"/>
          <w:b/>
          <w:bCs/>
          <w:color w:val="000000"/>
          <w:sz w:val="24"/>
          <w:szCs w:val="24"/>
        </w:rPr>
        <w:t xml:space="preserve">3.1.3.1. Phân tích giá trị gia tăng</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fill="374151" w:val="clear"/>
            <w:tcMar>
              <w:left w:type="dxa" w:w="100"/>
              <w:right w:type="dxa" w:w="100"/>
            </w:tcMar>
          </w:tcPr>
          <w:p>
            <w:pPr>
              <w:spacing w:after="60" w:before="60"/>
              <w:jc w:val="center"/>
            </w:pPr>
            <w:r>
              <w:rPr>
                <w:rFonts w:ascii="Times New Roman" w:cs="Times New Roman" w:eastAsia="Times New Roman" w:hAnsi="Times New Roman"/>
                <w:b/>
                <w:bCs/>
                <w:color w:val="FFFFFF"/>
                <w:sz w:val="22"/>
                <w:szCs w:val="22"/>
              </w:rPr>
              <w:t xml:space="preserve">Hoạt động</w:t>
            </w:r>
          </w:p>
        </w:tc>
        <w:tc>
          <w:tcPr>
            <w:tcW w:type="pct" w:w="30%"/>
            <w:shd w:fill="374151" w:val="clear"/>
            <w:tcMar>
              <w:left w:type="dxa" w:w="100"/>
              <w:right w:type="dxa" w:w="100"/>
            </w:tcMar>
          </w:tcPr>
          <w:p>
            <w:pPr>
              <w:spacing w:after="60" w:before="60"/>
              <w:jc w:val="center"/>
            </w:pPr>
            <w:r>
              <w:rPr>
                <w:rFonts w:ascii="Times New Roman" w:cs="Times New Roman" w:eastAsia="Times New Roman" w:hAnsi="Times New Roman"/>
                <w:b/>
                <w:bCs/>
                <w:color w:val="FFFFFF"/>
                <w:sz w:val="22"/>
                <w:szCs w:val="22"/>
              </w:rPr>
              <w:t xml:space="preserve">Người thực hiện</w:t>
            </w:r>
          </w:p>
        </w:tc>
        <w:tc>
          <w:tcPr>
            <w:tcW w:type="pct" w:w="20%"/>
            <w:shd w:fill="374151" w:val="clear"/>
            <w:tcMar>
              <w:left w:type="dxa" w:w="100"/>
              <w:right w:type="dxa" w:w="100"/>
            </w:tcMar>
          </w:tcPr>
          <w:p>
            <w:pPr>
              <w:spacing w:after="60" w:before="60"/>
              <w:jc w:val="center"/>
            </w:pPr>
            <w:r>
              <w:rPr>
                <w:rFonts w:ascii="Times New Roman" w:cs="Times New Roman" w:eastAsia="Times New Roman" w:hAnsi="Times New Roman"/>
                <w:b/>
                <w:bCs/>
                <w:color w:val="FFFFFF"/>
                <w:sz w:val="22"/>
                <w:szCs w:val="22"/>
              </w:rPr>
              <w:t xml:space="preserve">Loại giá trị</w:t>
            </w:r>
          </w:p>
        </w:tc>
      </w:tr>
      <w:tr>
        <w:tc>
          <w:tcPr>
            <w:shd w:fill="FFFFFF"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Chuẩn bị và đóng gói hàng hóa</w:t>
            </w:r>
          </w:p>
        </w:tc>
        <w:tc>
          <w:tcPr>
            <w:shd w:fill="FFFFFF"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Khách hàng</w:t>
            </w:r>
          </w:p>
        </w:tc>
        <w:tc>
          <w:tcPr>
            <w:shd w:fill="FFFFFF" w:val="clear"/>
            <w:tcMar>
              <w:left w:type="dxa" w:w="100"/>
              <w:right w:type="dxa" w:w="100"/>
            </w:tcMar>
          </w:tcPr>
          <w:p>
            <w:pPr>
              <w:spacing w:after="50" w:before="50"/>
              <w:jc w:val="center"/>
            </w:pPr>
            <w:r>
              <w:rPr>
                <w:rFonts w:ascii="Times New Roman" w:cs="Times New Roman" w:eastAsia="Times New Roman" w:hAnsi="Times New Roman"/>
                <w:b/>
                <w:bCs/>
                <w:i w:val="false"/>
                <w:iCs w:val="false"/>
                <w:sz w:val="22"/>
                <w:szCs w:val="22"/>
              </w:rPr>
              <w:t xml:space="preserve">VA</w:t>
            </w:r>
          </w:p>
        </w:tc>
      </w:tr>
      <w:tr>
        <w:tc>
          <w:tcPr>
            <w:shd w:fill="F9FAFB"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Kiểm tra thông tin vận đơn</w:t>
            </w:r>
          </w:p>
        </w:tc>
        <w:tc>
          <w:tcPr>
            <w:shd w:fill="F9FAFB"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Bưu cục gửi</w:t>
            </w:r>
          </w:p>
        </w:tc>
        <w:tc>
          <w:tcPr>
            <w:shd w:fill="F9FAFB" w:val="clear"/>
            <w:tcMar>
              <w:left w:type="dxa" w:w="100"/>
              <w:right w:type="dxa" w:w="100"/>
            </w:tcMar>
          </w:tcPr>
          <w:p>
            <w:pPr>
              <w:spacing w:after="50" w:before="50"/>
              <w:jc w:val="center"/>
            </w:pPr>
            <w:r>
              <w:rPr>
                <w:rFonts w:ascii="Times New Roman" w:cs="Times New Roman" w:eastAsia="Times New Roman" w:hAnsi="Times New Roman"/>
                <w:b/>
                <w:bCs/>
                <w:i w:val="false"/>
                <w:iCs w:val="false"/>
                <w:sz w:val="22"/>
                <w:szCs w:val="22"/>
              </w:rPr>
              <w:t xml:space="preserve">BVA</w:t>
            </w:r>
          </w:p>
        </w:tc>
      </w:tr>
      <w:tr>
        <w:tc>
          <w:tcPr>
            <w:shd w:fill="FFFFFF"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Tạo vận đơn và xác nhận thanh toán</w:t>
            </w:r>
          </w:p>
        </w:tc>
        <w:tc>
          <w:tcPr>
            <w:shd w:fill="FFFFFF"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Bưu cục gửi</w:t>
            </w:r>
          </w:p>
        </w:tc>
        <w:tc>
          <w:tcPr>
            <w:shd w:fill="FFFFFF" w:val="clear"/>
            <w:tcMar>
              <w:left w:type="dxa" w:w="100"/>
              <w:right w:type="dxa" w:w="100"/>
            </w:tcMar>
          </w:tcPr>
          <w:p>
            <w:pPr>
              <w:spacing w:after="50" w:before="50"/>
              <w:jc w:val="center"/>
            </w:pPr>
            <w:r>
              <w:rPr>
                <w:rFonts w:ascii="Times New Roman" w:cs="Times New Roman" w:eastAsia="Times New Roman" w:hAnsi="Times New Roman"/>
                <w:b/>
                <w:bCs/>
                <w:i w:val="false"/>
                <w:iCs w:val="false"/>
                <w:sz w:val="22"/>
                <w:szCs w:val="22"/>
              </w:rPr>
              <w:t xml:space="preserve">BVA</w:t>
            </w:r>
          </w:p>
        </w:tc>
      </w:tr>
      <w:tr>
        <w:tc>
          <w:tcPr>
            <w:shd w:fill="F9FAFB"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Vận chuyển liên tỉnh (Trục chính)</w:t>
            </w:r>
          </w:p>
        </w:tc>
        <w:tc>
          <w:tcPr>
            <w:shd w:fill="F9FAFB"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Trung tâm trung chuyển</w:t>
            </w:r>
          </w:p>
        </w:tc>
        <w:tc>
          <w:tcPr>
            <w:shd w:fill="F9FAFB" w:val="clear"/>
            <w:tcMar>
              <w:left w:type="dxa" w:w="100"/>
              <w:right w:type="dxa" w:w="100"/>
            </w:tcMar>
          </w:tcPr>
          <w:p>
            <w:pPr>
              <w:spacing w:after="50" w:before="50"/>
              <w:jc w:val="center"/>
            </w:pPr>
            <w:r>
              <w:rPr>
                <w:rFonts w:ascii="Times New Roman" w:cs="Times New Roman" w:eastAsia="Times New Roman" w:hAnsi="Times New Roman"/>
                <w:b/>
                <w:bCs/>
                <w:i w:val="false"/>
                <w:iCs w:val="false"/>
                <w:sz w:val="22"/>
                <w:szCs w:val="22"/>
              </w:rPr>
              <w:t xml:space="preserve">VA</w:t>
            </w:r>
          </w:p>
        </w:tc>
      </w:tr>
      <w:tr>
        <w:tc>
          <w:tcPr>
            <w:shd w:fill="FFFFFF"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Phân loại hàng hóa theo tuyến/vùng</w:t>
            </w:r>
          </w:p>
        </w:tc>
        <w:tc>
          <w:tcPr>
            <w:shd w:fill="FFFFFF"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Các trung tâm/bưu cục</w:t>
            </w:r>
          </w:p>
        </w:tc>
        <w:tc>
          <w:tcPr>
            <w:shd w:fill="FFFFFF" w:val="clear"/>
            <w:tcMar>
              <w:left w:type="dxa" w:w="100"/>
              <w:right w:type="dxa" w:w="100"/>
            </w:tcMar>
          </w:tcPr>
          <w:p>
            <w:pPr>
              <w:spacing w:after="50" w:before="50"/>
              <w:jc w:val="center"/>
            </w:pPr>
            <w:r>
              <w:rPr>
                <w:rFonts w:ascii="Times New Roman" w:cs="Times New Roman" w:eastAsia="Times New Roman" w:hAnsi="Times New Roman"/>
                <w:b/>
                <w:bCs/>
                <w:i w:val="false"/>
                <w:iCs w:val="false"/>
                <w:sz w:val="22"/>
                <w:szCs w:val="22"/>
              </w:rPr>
              <w:t xml:space="preserve">BVA</w:t>
            </w:r>
          </w:p>
        </w:tc>
      </w:tr>
      <w:tr>
        <w:tc>
          <w:tcPr>
            <w:shd w:fill="F9FAFB"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Lập bảng kê vận chuyển</w:t>
            </w:r>
          </w:p>
        </w:tc>
        <w:tc>
          <w:tcPr>
            <w:shd w:fill="F9FAFB"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Trung tâm khai thác</w:t>
            </w:r>
          </w:p>
        </w:tc>
        <w:tc>
          <w:tcPr>
            <w:shd w:fill="F9FAFB" w:val="clear"/>
            <w:tcMar>
              <w:left w:type="dxa" w:w="100"/>
              <w:right w:type="dxa" w:w="100"/>
            </w:tcMar>
          </w:tcPr>
          <w:p>
            <w:pPr>
              <w:spacing w:after="50" w:before="50"/>
              <w:jc w:val="center"/>
            </w:pPr>
            <w:r>
              <w:rPr>
                <w:rFonts w:ascii="Times New Roman" w:cs="Times New Roman" w:eastAsia="Times New Roman" w:hAnsi="Times New Roman"/>
                <w:b/>
                <w:bCs/>
                <w:i w:val="false"/>
                <w:iCs w:val="false"/>
                <w:sz w:val="22"/>
                <w:szCs w:val="22"/>
              </w:rPr>
              <w:t xml:space="preserve">BVA</w:t>
            </w:r>
          </w:p>
        </w:tc>
      </w:tr>
      <w:tr>
        <w:tc>
          <w:tcPr>
            <w:shd w:fill="FFFFFF"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Thực hiện phát hàng tận nơi</w:t>
            </w:r>
          </w:p>
        </w:tc>
        <w:tc>
          <w:tcPr>
            <w:shd w:fill="FFFFFF"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Nhân viên giao hàng</w:t>
            </w:r>
          </w:p>
        </w:tc>
        <w:tc>
          <w:tcPr>
            <w:shd w:fill="FFFFFF" w:val="clear"/>
            <w:tcMar>
              <w:left w:type="dxa" w:w="100"/>
              <w:right w:type="dxa" w:w="100"/>
            </w:tcMar>
          </w:tcPr>
          <w:p>
            <w:pPr>
              <w:spacing w:after="50" w:before="50"/>
              <w:jc w:val="center"/>
            </w:pPr>
            <w:r>
              <w:rPr>
                <w:rFonts w:ascii="Times New Roman" w:cs="Times New Roman" w:eastAsia="Times New Roman" w:hAnsi="Times New Roman"/>
                <w:b/>
                <w:bCs/>
                <w:i w:val="false"/>
                <w:iCs w:val="false"/>
                <w:sz w:val="22"/>
                <w:szCs w:val="22"/>
              </w:rPr>
              <w:t xml:space="preserve">VA</w:t>
            </w:r>
          </w:p>
        </w:tc>
      </w:tr>
      <w:tr>
        <w:tc>
          <w:tcPr>
            <w:shd w:fill="F9FAFB"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Kiểm tra hàng hóa thực tế</w:t>
            </w:r>
          </w:p>
        </w:tc>
        <w:tc>
          <w:tcPr>
            <w:shd w:fill="F9FAFB"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Người nhận</w:t>
            </w:r>
          </w:p>
        </w:tc>
        <w:tc>
          <w:tcPr>
            <w:shd w:fill="F9FAFB" w:val="clear"/>
            <w:tcMar>
              <w:left w:type="dxa" w:w="100"/>
              <w:right w:type="dxa" w:w="100"/>
            </w:tcMar>
          </w:tcPr>
          <w:p>
            <w:pPr>
              <w:spacing w:after="50" w:before="50"/>
              <w:jc w:val="center"/>
            </w:pPr>
            <w:r>
              <w:rPr>
                <w:rFonts w:ascii="Times New Roman" w:cs="Times New Roman" w:eastAsia="Times New Roman" w:hAnsi="Times New Roman"/>
                <w:b/>
                <w:bCs/>
                <w:i w:val="false"/>
                <w:iCs w:val="false"/>
                <w:sz w:val="22"/>
                <w:szCs w:val="22"/>
              </w:rPr>
              <w:t xml:space="preserve">VA</w:t>
            </w:r>
          </w:p>
        </w:tc>
      </w:tr>
      <w:tr>
        <w:tc>
          <w:tcPr>
            <w:shd w:fill="FFFFFF"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Đối soát COD và cập nhật hệ thống</w:t>
            </w:r>
          </w:p>
        </w:tc>
        <w:tc>
          <w:tcPr>
            <w:shd w:fill="FFFFFF"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Nhân viên giao hàng/Bưu cục</w:t>
            </w:r>
          </w:p>
        </w:tc>
        <w:tc>
          <w:tcPr>
            <w:shd w:fill="FFFFFF" w:val="clear"/>
            <w:tcMar>
              <w:left w:type="dxa" w:w="100"/>
              <w:right w:type="dxa" w:w="100"/>
            </w:tcMar>
          </w:tcPr>
          <w:p>
            <w:pPr>
              <w:spacing w:after="50" w:before="50"/>
              <w:jc w:val="center"/>
            </w:pPr>
            <w:r>
              <w:rPr>
                <w:rFonts w:ascii="Times New Roman" w:cs="Times New Roman" w:eastAsia="Times New Roman" w:hAnsi="Times New Roman"/>
                <w:b/>
                <w:bCs/>
                <w:i w:val="false"/>
                <w:iCs w:val="false"/>
                <w:sz w:val="22"/>
                <w:szCs w:val="22"/>
              </w:rPr>
              <w:t xml:space="preserve">BVA</w:t>
            </w:r>
          </w:p>
        </w:tc>
      </w:tr>
      <w:tr>
        <w:tc>
          <w:tcPr>
            <w:shd w:fill="F9FAFB"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Chờ gom hàng/Chờ xe trung chuyển</w:t>
            </w:r>
          </w:p>
        </w:tc>
        <w:tc>
          <w:tcPr>
            <w:shd w:fill="F9FAFB"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Hệ thống vận hành</w:t>
            </w:r>
          </w:p>
        </w:tc>
        <w:tc>
          <w:tcPr>
            <w:shd w:fill="F9FAFB" w:val="clear"/>
            <w:tcMar>
              <w:left w:type="dxa" w:w="100"/>
              <w:right w:type="dxa" w:w="100"/>
            </w:tcMar>
          </w:tcPr>
          <w:p>
            <w:pPr>
              <w:spacing w:after="50" w:before="50"/>
              <w:jc w:val="center"/>
            </w:pPr>
            <w:r>
              <w:rPr>
                <w:rFonts w:ascii="Times New Roman" w:cs="Times New Roman" w:eastAsia="Times New Roman" w:hAnsi="Times New Roman"/>
                <w:b/>
                <w:bCs/>
                <w:i w:val="false"/>
                <w:iCs w:val="false"/>
                <w:sz w:val="22"/>
                <w:szCs w:val="22"/>
              </w:rPr>
              <w:t xml:space="preserve">NVA</w:t>
            </w:r>
          </w:p>
        </w:tc>
      </w:tr>
    </w:tbl>
    <w:p>
      <w:pPr>
        <w:spacing w:after="40" w:before="40"/>
      </w:pPr>
    </w:p>
    <w:p>
      <w:pPr>
        <w:spacing w:after="60" w:before="160"/>
      </w:pPr>
      <w:r>
        <w:rPr>
          <w:rFonts w:ascii="Times New Roman" w:cs="Times New Roman" w:eastAsia="Times New Roman" w:hAnsi="Times New Roman"/>
          <w:b/>
          <w:bCs/>
          <w:color w:val="000000"/>
          <w:sz w:val="24"/>
          <w:szCs w:val="24"/>
        </w:rPr>
        <w:t xml:space="preserve">3.1.3.2. Phân tích lãng phí</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374151" w:val="clear"/>
            <w:tcMar>
              <w:left w:type="dxa" w:w="100"/>
              <w:right w:type="dxa" w:w="100"/>
            </w:tcMar>
          </w:tcPr>
          <w:p>
            <w:pPr>
              <w:spacing w:after="60" w:before="60"/>
              <w:jc w:val="center"/>
            </w:pPr>
            <w:r>
              <w:rPr>
                <w:rFonts w:ascii="Times New Roman" w:cs="Times New Roman" w:eastAsia="Times New Roman" w:hAnsi="Times New Roman"/>
                <w:b/>
                <w:bCs/>
                <w:color w:val="FFFFFF"/>
                <w:sz w:val="22"/>
                <w:szCs w:val="22"/>
              </w:rPr>
              <w:t xml:space="preserve">Loại lãng phí (Muda)</w:t>
            </w:r>
          </w:p>
        </w:tc>
        <w:tc>
          <w:tcPr>
            <w:tcW w:type="pct" w:w="75%"/>
            <w:shd w:fill="374151" w:val="clear"/>
            <w:tcMar>
              <w:left w:type="dxa" w:w="100"/>
              <w:right w:type="dxa" w:w="100"/>
            </w:tcMar>
          </w:tcPr>
          <w:p>
            <w:pPr>
              <w:spacing w:after="60" w:before="60"/>
              <w:jc w:val="center"/>
            </w:pPr>
            <w:r>
              <w:rPr>
                <w:rFonts w:ascii="Times New Roman" w:cs="Times New Roman" w:eastAsia="Times New Roman" w:hAnsi="Times New Roman"/>
                <w:b/>
                <w:bCs/>
                <w:color w:val="FFFFFF"/>
                <w:sz w:val="22"/>
                <w:szCs w:val="22"/>
              </w:rPr>
              <w:t xml:space="preserve">Ví dụ thực tế trong quy trình</w:t>
            </w:r>
          </w:p>
        </w:tc>
      </w:tr>
      <w:tr>
        <w:tc>
          <w:tcPr>
            <w:shd w:fill="FFFFFF" w:val="clear"/>
            <w:tcMar>
              <w:left w:type="dxa" w:w="100"/>
              <w:right w:type="dxa" w:w="100"/>
            </w:tcMar>
          </w:tcPr>
          <w:p>
            <w:pPr>
              <w:spacing w:after="50" w:before="50"/>
              <w:jc w:val="left"/>
            </w:pPr>
            <w:r>
              <w:rPr>
                <w:rFonts w:ascii="Times New Roman" w:cs="Times New Roman" w:eastAsia="Times New Roman" w:hAnsi="Times New Roman"/>
                <w:b/>
                <w:bCs/>
                <w:i w:val="false"/>
                <w:iCs w:val="false"/>
                <w:sz w:val="22"/>
                <w:szCs w:val="22"/>
              </w:rPr>
              <w:t xml:space="preserve">Waiting (Chờ đợi)</w:t>
            </w:r>
          </w:p>
        </w:tc>
        <w:tc>
          <w:tcPr>
            <w:shd w:fill="FFFFFF"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Hàng hóa lưu kho tại Trung tâm khai thác để đợi đủ tải trọng xe liên tỉnh hoặc chờ lịch trình xe cố định.</w:t>
            </w:r>
          </w:p>
        </w:tc>
      </w:tr>
      <w:tr>
        <w:tc>
          <w:tcPr>
            <w:shd w:fill="F9FAFB" w:val="clear"/>
            <w:tcMar>
              <w:left w:type="dxa" w:w="100"/>
              <w:right w:type="dxa" w:w="100"/>
            </w:tcMar>
          </w:tcPr>
          <w:p>
            <w:pPr>
              <w:spacing w:after="50" w:before="50"/>
              <w:jc w:val="left"/>
            </w:pPr>
            <w:r>
              <w:rPr>
                <w:rFonts w:ascii="Times New Roman" w:cs="Times New Roman" w:eastAsia="Times New Roman" w:hAnsi="Times New Roman"/>
                <w:b/>
                <w:bCs/>
                <w:i w:val="false"/>
                <w:iCs w:val="false"/>
                <w:sz w:val="22"/>
                <w:szCs w:val="22"/>
              </w:rPr>
              <w:t xml:space="preserve">Move (Di chuyển)</w:t>
            </w:r>
          </w:p>
        </w:tc>
        <w:tc>
          <w:tcPr>
            <w:shd w:fill="F9FAFB"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Chuyển hàng qua quá nhiều điểm chạm trung gian (Bưu cục → TT Khai thác → TT Trung chuyển → Bưu cục phát) không cần thiết đối với các tuyến ngắn.</w:t>
            </w:r>
          </w:p>
        </w:tc>
      </w:tr>
      <w:tr>
        <w:tc>
          <w:tcPr>
            <w:shd w:fill="FFFFFF" w:val="clear"/>
            <w:tcMar>
              <w:left w:type="dxa" w:w="100"/>
              <w:right w:type="dxa" w:w="100"/>
            </w:tcMar>
          </w:tcPr>
          <w:p>
            <w:pPr>
              <w:spacing w:after="50" w:before="50"/>
              <w:jc w:val="left"/>
            </w:pPr>
            <w:r>
              <w:rPr>
                <w:rFonts w:ascii="Times New Roman" w:cs="Times New Roman" w:eastAsia="Times New Roman" w:hAnsi="Times New Roman"/>
                <w:b/>
                <w:bCs/>
                <w:i w:val="false"/>
                <w:iCs w:val="false"/>
                <w:sz w:val="22"/>
                <w:szCs w:val="22"/>
              </w:rPr>
              <w:t xml:space="preserve">Defects (Sai lỗi)</w:t>
            </w:r>
          </w:p>
        </w:tc>
        <w:tc>
          <w:tcPr>
            <w:shd w:fill="FFFFFF"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Sai sót thông tin vận đơn dẫn đến định tuyến nhầm trung tâm khai thác, gây phát sinh chi phí xử lý lại.</w:t>
            </w:r>
          </w:p>
        </w:tc>
      </w:tr>
      <w:tr>
        <w:tc>
          <w:tcPr>
            <w:shd w:fill="F9FAFB" w:val="clear"/>
            <w:tcMar>
              <w:left w:type="dxa" w:w="100"/>
              <w:right w:type="dxa" w:w="100"/>
            </w:tcMar>
          </w:tcPr>
          <w:p>
            <w:pPr>
              <w:spacing w:after="50" w:before="50"/>
              <w:jc w:val="left"/>
            </w:pPr>
            <w:r>
              <w:rPr>
                <w:rFonts w:ascii="Times New Roman" w:cs="Times New Roman" w:eastAsia="Times New Roman" w:hAnsi="Times New Roman"/>
                <w:b/>
                <w:bCs/>
                <w:i w:val="false"/>
                <w:iCs w:val="false"/>
                <w:sz w:val="22"/>
                <w:szCs w:val="22"/>
              </w:rPr>
              <w:t xml:space="preserve">Over-processing (Thừa)</w:t>
            </w:r>
          </w:p>
        </w:tc>
        <w:tc>
          <w:tcPr>
            <w:shd w:fill="F9FAFB"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Thực hiện kiểm tra ngoại quan và quét mã vạch lặp lại tại tất cả các điểm trung chuyển dù hàng hóa đã được niêm phong bảng kê.</w:t>
            </w:r>
          </w:p>
        </w:tc>
      </w:tr>
    </w:tbl>
    <w:p>
      <w:pPr>
        <w:spacing w:after="40" w:before="40"/>
      </w:pPr>
    </w:p>
    <w:p>
      <w:pPr>
        <w:spacing w:after="80" w:before="200"/>
      </w:pPr>
      <w:r>
        <w:rPr>
          <w:rFonts w:ascii="Times New Roman" w:cs="Times New Roman" w:eastAsia="Times New Roman" w:hAnsi="Times New Roman"/>
          <w:b/>
          <w:bCs/>
          <w:color w:val="000000"/>
          <w:sz w:val="24"/>
          <w:szCs w:val="24"/>
        </w:rPr>
        <w:t xml:space="preserve">3.1.4. Phân tích định lượng</w:t>
      </w:r>
    </w:p>
    <w:p>
      <w:pPr>
        <w:spacing w:after="60" w:before="160"/>
      </w:pPr>
      <w:r>
        <w:rPr>
          <w:rFonts w:ascii="Times New Roman" w:cs="Times New Roman" w:eastAsia="Times New Roman" w:hAnsi="Times New Roman"/>
          <w:b/>
          <w:bCs/>
          <w:color w:val="000000"/>
          <w:sz w:val="24"/>
          <w:szCs w:val="24"/>
        </w:rPr>
        <w:t xml:space="preserve">3.1.4.1. Thời gian</w:t>
      </w:r>
    </w:p>
    <w:p>
      <w:pPr>
        <w:spacing w:after="60" w:before="60"/>
      </w:pPr>
      <w:r>
        <w:rPr>
          <w:rFonts w:ascii="Times New Roman" w:cs="Times New Roman" w:eastAsia="Times New Roman" w:hAnsi="Times New Roman"/>
          <w:sz w:val="24"/>
          <w:szCs w:val="24"/>
        </w:rPr>
        <w:t xml:space="preserve">Để đánh giá hiệu suất, thời gian chu kỳ (</w:t>
      </w:r>
      <w:r>
        <w:rPr>
          <w:rFonts w:ascii="Times New Roman" w:cs="Times New Roman" w:eastAsia="Times New Roman" w:hAnsi="Times New Roman"/>
          <w:b/>
          <w:bCs/>
          <w:sz w:val="24"/>
          <w:szCs w:val="24"/>
        </w:rPr>
        <w:t xml:space="preserve">Cycle Time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CT</w:t>
      </w:r>
      <w:r>
        <w:rPr>
          <w:rFonts w:ascii="Times New Roman" w:cs="Times New Roman" w:eastAsia="Times New Roman" w:hAnsi="Times New Roman"/>
          <w:sz w:val="24"/>
          <w:szCs w:val="24"/>
        </w:rPr>
        <w:t xml:space="preserve">) và thời gian xử lý (</w:t>
      </w:r>
      <w:r>
        <w:rPr>
          <w:rFonts w:ascii="Times New Roman" w:cs="Times New Roman" w:eastAsia="Times New Roman" w:hAnsi="Times New Roman"/>
          <w:b/>
          <w:bCs/>
          <w:sz w:val="24"/>
          <w:szCs w:val="24"/>
        </w:rPr>
        <w:t xml:space="preserve">Processing Time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PT</w:t>
      </w:r>
      <w:r>
        <w:rPr>
          <w:rFonts w:ascii="Times New Roman" w:cs="Times New Roman" w:eastAsia="Times New Roman" w:hAnsi="Times New Roman"/>
          <w:sz w:val="24"/>
          <w:szCs w:val="24"/>
        </w:rPr>
        <w:t xml:space="preserve">) được xác định dựa trên tổng các chặng nghiệp vụ:</w:t>
      </w:r>
    </w:p>
    <w:p>
      <w:pPr>
        <w:pStyle w:val="ListParagraph"/>
        <w:numPr>
          <w:ilvl w:val="0"/>
          <w:numId w:val="1"/>
        </w:numPr>
        <w:spacing w:after="40" w:before="40"/>
        <w:ind w:left="360" w:hanging="360"/>
      </w:pPr>
      <w:r>
        <w:rPr>
          <w:rFonts w:ascii="Times New Roman" w:cs="Times New Roman" w:eastAsia="Times New Roman" w:hAnsi="Times New Roman"/>
          <w:b/>
          <w:bCs/>
          <w:sz w:val="24"/>
          <w:szCs w:val="24"/>
        </w:rPr>
        <w:t xml:space="preserve">Công thức thiết lập:</w:t>
      </w:r>
    </w:p>
    <w:p>
      <w:pPr>
        <w:pStyle w:val="ListParagraph"/>
        <w:numPr>
          <w:ilvl w:val="1"/>
          <w:numId w:val="1"/>
        </w:numPr>
        <w:spacing w:after="40" w:before="40"/>
        <w:ind w:left="720" w:hanging="360"/>
      </w:pP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PT</w:t>
      </w:r>
      <w:r>
        <w:rPr>
          <w:rFonts w:ascii="Times New Roman" w:cs="Times New Roman" w:eastAsia="Times New Roman" w:hAnsi="Times New Roman"/>
          <w:sz w:val="24"/>
          <w:szCs w:val="24"/>
        </w:rPr>
        <w:t xml:space="preserve"> = ∑ (Thời gian thực hiện thực tế của các tác nhân tại mỗi chặng).</w:t>
      </w:r>
    </w:p>
    <w:p>
      <w:pPr>
        <w:pStyle w:val="ListParagraph"/>
        <w:numPr>
          <w:ilvl w:val="1"/>
          <w:numId w:val="1"/>
        </w:numPr>
        <w:spacing w:after="40" w:before="40"/>
        <w:ind w:left="720" w:hanging="360"/>
      </w:pP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CT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PT</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Waiting</w:t>
      </w:r>
      <w:r>
        <w:rPr>
          <w:rFonts w:ascii="Times New Roman" w:cs="Times New Roman" w:eastAsia="Times New Roman" w:hAnsi="Times New Roman"/>
          <w:sz w:val="24"/>
          <w:szCs w:val="24"/>
        </w:rPr>
        <w:t xml:space="preserve"> (Trong đó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Waiting</w:t>
      </w:r>
      <w:r>
        <w:rPr>
          <w:rFonts w:ascii="Times New Roman" w:cs="Times New Roman" w:eastAsia="Times New Roman" w:hAnsi="Times New Roman"/>
          <w:sz w:val="24"/>
          <w:szCs w:val="24"/>
        </w:rPr>
        <w:t xml:space="preserve"> bao gồm thời gian chờ xe, chờ khách và lưu kho chặng).</w:t>
      </w:r>
    </w:p>
    <w:p>
      <w:pPr>
        <w:pStyle w:val="ListParagraph"/>
        <w:numPr>
          <w:ilvl w:val="0"/>
          <w:numId w:val="1"/>
        </w:numPr>
        <w:spacing w:after="40" w:before="40"/>
        <w:ind w:left="360" w:hanging="360"/>
      </w:pPr>
      <w:r>
        <w:rPr>
          <w:rFonts w:ascii="Times New Roman" w:cs="Times New Roman" w:eastAsia="Times New Roman" w:hAnsi="Times New Roman"/>
          <w:b/>
          <w:bCs/>
          <w:sz w:val="24"/>
          <w:szCs w:val="24"/>
        </w:rPr>
        <w:t xml:space="preserve">Giả định khung phân tích mẫu (Đơn vị: Giờ):</w:t>
      </w:r>
    </w:p>
    <w:p>
      <w:pPr>
        <w:pStyle w:val="ListParagraph"/>
        <w:numPr>
          <w:ilvl w:val="1"/>
          <w:numId w:val="1"/>
        </w:numPr>
        <w:spacing w:after="40" w:before="40"/>
        <w:ind w:left="720" w:hanging="360"/>
      </w:pP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tn</w:t>
      </w:r>
      <w:r>
        <w:rPr>
          <w:rFonts w:ascii="Times New Roman" w:cs="Times New Roman" w:eastAsia="Times New Roman" w:hAnsi="Times New Roman"/>
          <w:sz w:val="24"/>
          <w:szCs w:val="24"/>
        </w:rPr>
        <w:t xml:space="preserve"> (Tiếp nhận): 0.5 giờ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kt</w:t>
      </w:r>
      <w:r>
        <w:rPr>
          <w:rFonts w:ascii="Times New Roman" w:cs="Times New Roman" w:eastAsia="Times New Roman" w:hAnsi="Times New Roman"/>
          <w:sz w:val="24"/>
          <w:szCs w:val="24"/>
        </w:rPr>
        <w:t xml:space="preserve"> (Khai thác): 3 giờ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vc</w:t>
      </w:r>
      <w:r>
        <w:rPr>
          <w:rFonts w:ascii="Times New Roman" w:cs="Times New Roman" w:eastAsia="Times New Roman" w:hAnsi="Times New Roman"/>
          <w:sz w:val="24"/>
          <w:szCs w:val="24"/>
        </w:rPr>
        <w:t xml:space="preserve"> (Vận chuyển trục): 30 giờ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ph</w:t>
      </w:r>
      <w:r>
        <w:rPr>
          <w:rFonts w:ascii="Times New Roman" w:cs="Times New Roman" w:eastAsia="Times New Roman" w:hAnsi="Times New Roman"/>
          <w:sz w:val="24"/>
          <w:szCs w:val="24"/>
        </w:rPr>
        <w:t xml:space="preserve"> (Phát hàng): 4 giờ.</w:t>
      </w:r>
    </w:p>
    <w:p>
      <w:pPr>
        <w:pStyle w:val="ListParagraph"/>
        <w:numPr>
          <w:ilvl w:val="1"/>
          <w:numId w:val="1"/>
        </w:numPr>
        <w:spacing w:after="40" w:before="40"/>
        <w:ind w:left="720" w:hanging="360"/>
      </w:pP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wait</w:t>
      </w:r>
      <w:r>
        <w:rPr>
          <w:rFonts w:ascii="Times New Roman" w:cs="Times New Roman" w:eastAsia="Times New Roman" w:hAnsi="Times New Roman"/>
          <w:sz w:val="24"/>
          <w:szCs w:val="24"/>
        </w:rPr>
        <w:t xml:space="preserve"> (Tổng thời gian chờ tại các node): 15 giờ.</w:t>
      </w:r>
    </w:p>
    <w:p>
      <w:pPr>
        <w:spacing w:after="40" w:before="40"/>
      </w:pPr>
    </w:p>
    <w:p>
      <w:pPr>
        <w:spacing w:after="80" w:before="80"/>
      </w:pPr>
      <w:r>
        <w:rPr>
          <w:rFonts w:ascii="Times New Roman" w:cs="Times New Roman" w:eastAsia="Times New Roman" w:hAnsi="Times New Roman"/>
          <w:b/>
          <w:bCs/>
          <w:sz w:val="24"/>
          <w:szCs w:val="24"/>
        </w:rPr>
        <w:t xml:space="preserve">Kết quả Lead-time dự kiến: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CT</w:t>
      </w:r>
      <w:r>
        <w:rPr>
          <w:rFonts w:ascii="Times New Roman" w:cs="Times New Roman" w:eastAsia="Times New Roman" w:hAnsi="Times New Roman"/>
          <w:sz w:val="24"/>
          <w:szCs w:val="24"/>
        </w:rPr>
        <w:t xml:space="preserve"> = (0.5 + 3 + 30 + 4) + 15 = </w:t>
      </w:r>
      <w:r>
        <w:rPr>
          <w:rFonts w:ascii="Times New Roman" w:cs="Times New Roman" w:eastAsia="Times New Roman" w:hAnsi="Times New Roman"/>
          <w:b/>
          <w:bCs/>
          <w:sz w:val="24"/>
          <w:szCs w:val="24"/>
        </w:rPr>
        <w:t xml:space="preserve">52.5 giờ</w:t>
      </w:r>
      <w:r>
        <w:rPr>
          <w:rFonts w:ascii="Times New Roman" w:cs="Times New Roman" w:eastAsia="Times New Roman" w:hAnsi="Times New Roman"/>
          <w:sz w:val="24"/>
          <w:szCs w:val="24"/>
        </w:rPr>
        <w:t xml:space="preserve"> (xấp xỉ 2.2 ngày làm việc).</w:t>
      </w:r>
    </w:p>
    <w:p>
      <w:pPr>
        <w:spacing w:after="40" w:before="40"/>
      </w:pPr>
    </w:p>
    <w:p>
      <w:pPr>
        <w:spacing w:after="60" w:before="160"/>
      </w:pPr>
      <w:r>
        <w:rPr>
          <w:rFonts w:ascii="Times New Roman" w:cs="Times New Roman" w:eastAsia="Times New Roman" w:hAnsi="Times New Roman"/>
          <w:b/>
          <w:bCs/>
          <w:color w:val="000000"/>
          <w:sz w:val="24"/>
          <w:szCs w:val="24"/>
        </w:rPr>
        <w:t xml:space="preserve">3.1.4.2. Chi phí</w:t>
      </w:r>
    </w:p>
    <w:p>
      <w:pPr>
        <w:spacing w:after="60" w:before="60"/>
      </w:pPr>
      <w:r>
        <w:rPr>
          <w:rFonts w:ascii="Times New Roman" w:cs="Times New Roman" w:eastAsia="Times New Roman" w:hAnsi="Times New Roman"/>
          <w:sz w:val="24"/>
          <w:szCs w:val="24"/>
        </w:rPr>
        <w:t xml:space="preserve">Tổng chi phí cho một đơn hàng vận chuyển liên tỉnh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total</w:t>
      </w:r>
      <w:r>
        <w:rPr>
          <w:rFonts w:ascii="Times New Roman" w:cs="Times New Roman" w:eastAsia="Times New Roman" w:hAnsi="Times New Roman"/>
          <w:sz w:val="24"/>
          <w:szCs w:val="24"/>
        </w:rPr>
        <w:t xml:space="preserve">) được tính toán theo phương pháp phân bổ nguồn lực:</w:t>
      </w:r>
    </w:p>
    <w:p>
      <w:pPr>
        <w:pStyle w:val="ListParagraph"/>
        <w:numPr>
          <w:ilvl w:val="0"/>
          <w:numId w:val="1"/>
        </w:numPr>
        <w:spacing w:after="40" w:before="40"/>
        <w:ind w:left="360" w:hanging="360"/>
      </w:pPr>
      <w:r>
        <w:rPr>
          <w:rFonts w:ascii="Times New Roman" w:cs="Times New Roman" w:eastAsia="Times New Roman" w:hAnsi="Times New Roman"/>
          <w:b/>
          <w:bCs/>
          <w:sz w:val="24"/>
          <w:szCs w:val="24"/>
        </w:rPr>
        <w:t xml:space="preserve">Công thức tính toán:</w:t>
      </w:r>
    </w:p>
    <w:p>
      <w:pPr>
        <w:spacing w:after="120" w:before="120"/>
        <w:jc w:val="center"/>
      </w:pP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total</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labor</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operation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mgmt</w:t>
      </w:r>
    </w:p>
    <w:p>
      <w:pPr>
        <w:spacing w:after="60" w:before="60"/>
      </w:pPr>
      <w:r>
        <w:rPr>
          <w:rFonts w:ascii="Times New Roman" w:cs="Times New Roman" w:eastAsia="Times New Roman" w:hAnsi="Times New Roman"/>
          <w:sz w:val="24"/>
          <w:szCs w:val="24"/>
        </w:rPr>
        <w:t xml:space="preserve">Trong đó, chi phí nhân công trực tiếp được chiết xuất: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labor</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Thời gian xử lý của tác nhân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Đơn giá lương tương ứng).</w:t>
      </w:r>
    </w:p>
    <w:p>
      <w:pPr>
        <w:spacing w:after="40" w:before="40"/>
      </w:pPr>
    </w:p>
    <w:p>
      <w:pPr>
        <w:spacing w:after="80" w:before="80"/>
      </w:pPr>
      <w:r>
        <w:rPr>
          <w:rFonts w:ascii="Times New Roman" w:cs="Times New Roman" w:eastAsia="Times New Roman" w:hAnsi="Times New Roman"/>
          <w:b/>
          <w:bCs/>
          <w:sz w:val="24"/>
          <w:szCs w:val="24"/>
        </w:rPr>
        <w:t xml:space="preserve">Bảng mô phỏng hiệu suất chi phí (Đơn vị: VNĐ):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374151" w:val="clear"/>
            <w:tcMar>
              <w:left w:type="dxa" w:w="100"/>
              <w:right w:type="dxa" w:w="100"/>
            </w:tcMar>
          </w:tcPr>
          <w:p>
            <w:pPr>
              <w:spacing w:after="60" w:before="60"/>
              <w:jc w:val="center"/>
            </w:pPr>
            <w:r>
              <w:rPr>
                <w:rFonts w:ascii="Times New Roman" w:cs="Times New Roman" w:eastAsia="Times New Roman" w:hAnsi="Times New Roman"/>
                <w:b/>
                <w:bCs/>
                <w:color w:val="FFFFFF"/>
                <w:sz w:val="22"/>
                <w:szCs w:val="22"/>
              </w:rPr>
              <w:t xml:space="preserve">Thành phần chi phí</w:t>
            </w:r>
          </w:p>
        </w:tc>
        <w:tc>
          <w:tcPr>
            <w:tcW w:type="pct" w:w="50%"/>
            <w:shd w:fill="374151" w:val="clear"/>
            <w:tcMar>
              <w:left w:type="dxa" w:w="100"/>
              <w:right w:type="dxa" w:w="100"/>
            </w:tcMar>
          </w:tcPr>
          <w:p>
            <w:pPr>
              <w:spacing w:after="60" w:before="60"/>
              <w:jc w:val="center"/>
            </w:pPr>
            <w:r>
              <w:rPr>
                <w:rFonts w:ascii="Times New Roman" w:cs="Times New Roman" w:eastAsia="Times New Roman" w:hAnsi="Times New Roman"/>
                <w:b/>
                <w:bCs/>
                <w:color w:val="FFFFFF"/>
                <w:sz w:val="22"/>
                <w:szCs w:val="22"/>
              </w:rPr>
              <w:t xml:space="preserve">Công thức tính chi tiết</w:t>
            </w:r>
          </w:p>
        </w:tc>
        <w:tc>
          <w:tcPr>
            <w:tcW w:type="pct" w:w="20%"/>
            <w:shd w:fill="374151" w:val="clear"/>
            <w:tcMar>
              <w:left w:type="dxa" w:w="100"/>
              <w:right w:type="dxa" w:w="100"/>
            </w:tcMar>
          </w:tcPr>
          <w:p>
            <w:pPr>
              <w:spacing w:after="60" w:before="60"/>
              <w:jc w:val="center"/>
            </w:pPr>
            <w:r>
              <w:rPr>
                <w:rFonts w:ascii="Times New Roman" w:cs="Times New Roman" w:eastAsia="Times New Roman" w:hAnsi="Times New Roman"/>
                <w:b/>
                <w:bCs/>
                <w:color w:val="FFFFFF"/>
                <w:sz w:val="22"/>
                <w:szCs w:val="22"/>
              </w:rPr>
              <w:t xml:space="preserve">Giá trị ước tính (VNĐ)</w:t>
            </w:r>
          </w:p>
        </w:tc>
      </w:tr>
      <w:tr>
        <w:tc>
          <w:tcPr>
            <w:shd w:fill="FFFFFF" w:val="clear"/>
            <w:tcMar>
              <w:left w:type="dxa" w:w="100"/>
              <w:right w:type="dxa" w:w="100"/>
            </w:tcMar>
          </w:tcPr>
          <w:p>
            <w:pPr>
              <w:spacing w:after="50" w:before="50"/>
              <w:jc w:val="left"/>
            </w:pPr>
            <w:r>
              <w:rPr>
                <w:rFonts w:ascii="Times New Roman" w:cs="Times New Roman" w:eastAsia="Times New Roman" w:hAnsi="Times New Roman"/>
                <w:b/>
                <w:bCs/>
                <w:i w:val="false"/>
                <w:iCs w:val="false"/>
                <w:sz w:val="22"/>
                <w:szCs w:val="22"/>
              </w:rPr>
              <w:t xml:space="preserve">Nhân công (Labor)</w:t>
            </w:r>
          </w:p>
        </w:tc>
        <w:tc>
          <w:tcPr>
            <w:shd w:fill="FFFFFF"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(0.5h × 10.000) + (4h × 2.500)</w:t>
            </w:r>
          </w:p>
        </w:tc>
        <w:tc>
          <w:tcPr>
            <w:shd w:fill="FFFFFF" w:val="clear"/>
            <w:tcMar>
              <w:left w:type="dxa" w:w="100"/>
              <w:right w:type="dxa" w:w="100"/>
            </w:tcMar>
          </w:tcPr>
          <w:p>
            <w:pPr>
              <w:spacing w:after="50" w:before="50"/>
              <w:jc w:val="center"/>
            </w:pPr>
            <w:r>
              <w:rPr>
                <w:rFonts w:ascii="Times New Roman" w:cs="Times New Roman" w:eastAsia="Times New Roman" w:hAnsi="Times New Roman"/>
                <w:b w:val="false"/>
                <w:bCs w:val="false"/>
                <w:i w:val="false"/>
                <w:iCs w:val="false"/>
                <w:sz w:val="22"/>
                <w:szCs w:val="22"/>
              </w:rPr>
              <w:t xml:space="preserve">15.000</w:t>
            </w:r>
          </w:p>
        </w:tc>
      </w:tr>
      <w:tr>
        <w:tc>
          <w:tcPr>
            <w:shd w:fill="F9FAFB" w:val="clear"/>
            <w:tcMar>
              <w:left w:type="dxa" w:w="100"/>
              <w:right w:type="dxa" w:w="100"/>
            </w:tcMar>
          </w:tcPr>
          <w:p>
            <w:pPr>
              <w:spacing w:after="50" w:before="50"/>
              <w:jc w:val="left"/>
            </w:pPr>
            <w:r>
              <w:rPr>
                <w:rFonts w:ascii="Times New Roman" w:cs="Times New Roman" w:eastAsia="Times New Roman" w:hAnsi="Times New Roman"/>
                <w:b/>
                <w:bCs/>
                <w:i w:val="false"/>
                <w:iCs w:val="false"/>
                <w:sz w:val="22"/>
                <w:szCs w:val="22"/>
              </w:rPr>
              <w:t xml:space="preserve">Vận tải (Operation)</w:t>
            </w:r>
          </w:p>
        </w:tc>
        <w:tc>
          <w:tcPr>
            <w:shd w:fill="F9FAFB"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Chi phí nhiên liệu + Khấu hao phương tiện</w:t>
            </w:r>
          </w:p>
        </w:tc>
        <w:tc>
          <w:tcPr>
            <w:shd w:fill="F9FAFB" w:val="clear"/>
            <w:tcMar>
              <w:left w:type="dxa" w:w="100"/>
              <w:right w:type="dxa" w:w="100"/>
            </w:tcMar>
          </w:tcPr>
          <w:p>
            <w:pPr>
              <w:spacing w:after="50" w:before="50"/>
              <w:jc w:val="center"/>
            </w:pPr>
            <w:r>
              <w:rPr>
                <w:rFonts w:ascii="Times New Roman" w:cs="Times New Roman" w:eastAsia="Times New Roman" w:hAnsi="Times New Roman"/>
                <w:b w:val="false"/>
                <w:bCs w:val="false"/>
                <w:i w:val="false"/>
                <w:iCs w:val="false"/>
                <w:sz w:val="22"/>
                <w:szCs w:val="22"/>
              </w:rPr>
              <w:t xml:space="preserve">25.000</w:t>
            </w:r>
          </w:p>
        </w:tc>
      </w:tr>
      <w:tr>
        <w:tc>
          <w:tcPr>
            <w:shd w:fill="FFFFFF" w:val="clear"/>
            <w:tcMar>
              <w:left w:type="dxa" w:w="100"/>
              <w:right w:type="dxa" w:w="100"/>
            </w:tcMar>
          </w:tcPr>
          <w:p>
            <w:pPr>
              <w:spacing w:after="50" w:before="50"/>
              <w:jc w:val="left"/>
            </w:pPr>
            <w:r>
              <w:rPr>
                <w:rFonts w:ascii="Times New Roman" w:cs="Times New Roman" w:eastAsia="Times New Roman" w:hAnsi="Times New Roman"/>
                <w:b/>
                <w:bCs/>
                <w:i w:val="false"/>
                <w:iCs w:val="false"/>
                <w:sz w:val="22"/>
                <w:szCs w:val="22"/>
              </w:rPr>
              <w:t xml:space="preserve">Khai thác (Sorting)</w:t>
            </w:r>
          </w:p>
        </w:tc>
        <w:tc>
          <w:tcPr>
            <w:shd w:fill="FFFFFF"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Chi phí vận hành máy móc + Điện năng</w:t>
            </w:r>
          </w:p>
        </w:tc>
        <w:tc>
          <w:tcPr>
            <w:shd w:fill="FFFFFF" w:val="clear"/>
            <w:tcMar>
              <w:left w:type="dxa" w:w="100"/>
              <w:right w:type="dxa" w:w="100"/>
            </w:tcMar>
          </w:tcPr>
          <w:p>
            <w:pPr>
              <w:spacing w:after="50" w:before="50"/>
              <w:jc w:val="center"/>
            </w:pPr>
            <w:r>
              <w:rPr>
                <w:rFonts w:ascii="Times New Roman" w:cs="Times New Roman" w:eastAsia="Times New Roman" w:hAnsi="Times New Roman"/>
                <w:b w:val="false"/>
                <w:bCs w:val="false"/>
                <w:i w:val="false"/>
                <w:iCs w:val="false"/>
                <w:sz w:val="22"/>
                <w:szCs w:val="22"/>
              </w:rPr>
              <w:t xml:space="preserve">5.000</w:t>
            </w:r>
          </w:p>
        </w:tc>
      </w:tr>
      <w:tr>
        <w:tc>
          <w:tcPr>
            <w:shd w:fill="F9FAFB" w:val="clear"/>
            <w:tcMar>
              <w:left w:type="dxa" w:w="100"/>
              <w:right w:type="dxa" w:w="100"/>
            </w:tcMar>
          </w:tcPr>
          <w:p>
            <w:pPr>
              <w:spacing w:after="50" w:before="50"/>
              <w:jc w:val="left"/>
            </w:pPr>
            <w:r>
              <w:rPr>
                <w:rFonts w:ascii="Times New Roman" w:cs="Times New Roman" w:eastAsia="Times New Roman" w:hAnsi="Times New Roman"/>
                <w:b/>
                <w:bCs/>
                <w:i w:val="false"/>
                <w:iCs w:val="false"/>
                <w:sz w:val="22"/>
                <w:szCs w:val="22"/>
              </w:rPr>
              <w:t xml:space="preserve">Quản trị (Management)</w:t>
            </w:r>
          </w:p>
        </w:tc>
        <w:tc>
          <w:tcPr>
            <w:shd w:fill="F9FAFB" w:val="clear"/>
            <w:tcMar>
              <w:left w:type="dxa" w:w="100"/>
              <w:right w:type="dxa" w:w="100"/>
            </w:tcMar>
          </w:tcPr>
          <w:p>
            <w:pPr>
              <w:spacing w:after="50" w:before="50"/>
              <w:jc w:val="left"/>
            </w:pPr>
            <w:r>
              <w:rPr>
                <w:rFonts w:ascii="Times New Roman" w:cs="Times New Roman" w:eastAsia="Times New Roman" w:hAnsi="Times New Roman"/>
                <w:b w:val="false"/>
                <w:bCs w:val="false"/>
                <w:i w:val="false"/>
                <w:iCs w:val="false"/>
                <w:sz w:val="22"/>
                <w:szCs w:val="22"/>
              </w:rPr>
              <w:t xml:space="preserve">Chi phí hệ thống ERP + Bảo hiểm đơn hàng</w:t>
            </w:r>
          </w:p>
        </w:tc>
        <w:tc>
          <w:tcPr>
            <w:shd w:fill="F9FAFB" w:val="clear"/>
            <w:tcMar>
              <w:left w:type="dxa" w:w="100"/>
              <w:right w:type="dxa" w:w="100"/>
            </w:tcMar>
          </w:tcPr>
          <w:p>
            <w:pPr>
              <w:spacing w:after="50" w:before="50"/>
              <w:jc w:val="center"/>
            </w:pPr>
            <w:r>
              <w:rPr>
                <w:rFonts w:ascii="Times New Roman" w:cs="Times New Roman" w:eastAsia="Times New Roman" w:hAnsi="Times New Roman"/>
                <w:b w:val="false"/>
                <w:bCs w:val="false"/>
                <w:i w:val="false"/>
                <w:iCs w:val="false"/>
                <w:sz w:val="22"/>
                <w:szCs w:val="22"/>
              </w:rPr>
              <w:t xml:space="preserve">3.000</w:t>
            </w:r>
          </w:p>
        </w:tc>
      </w:tr>
      <w:tr>
        <w:tc>
          <w:tcPr>
            <w:shd w:fill="E5E7EB" w:val="clear"/>
            <w:tcMar>
              <w:left w:type="dxa" w:w="100"/>
              <w:right w:type="dxa" w:w="100"/>
            </w:tcMar>
          </w:tcPr>
          <w:p>
            <w:pPr>
              <w:spacing w:after="50" w:before="50"/>
              <w:jc w:val="left"/>
            </w:pPr>
            <w:r>
              <w:rPr>
                <w:rFonts w:ascii="Times New Roman" w:cs="Times New Roman" w:eastAsia="Times New Roman" w:hAnsi="Times New Roman"/>
                <w:b/>
                <w:bCs/>
                <w:i w:val="false"/>
                <w:iCs w:val="false"/>
                <w:sz w:val="22"/>
                <w:szCs w:val="22"/>
              </w:rPr>
              <w:t xml:space="preserve">TỔNG CHI PHÍ</w:t>
            </w:r>
          </w:p>
        </w:tc>
        <w:tc>
          <w:tcPr>
            <w:shd w:fill="E5E7EB" w:val="clear"/>
            <w:tcMar>
              <w:left w:type="dxa" w:w="100"/>
              <w:right w:type="dxa" w:w="100"/>
            </w:tcMar>
          </w:tcPr>
          <w:p>
            <w:pPr>
              <w:spacing w:after="50" w:before="50"/>
              <w:jc w:val="left"/>
            </w:pPr>
            <w:r>
              <w:rPr>
                <w:rFonts w:ascii="Times New Roman" w:cs="Times New Roman" w:eastAsia="Times New Roman" w:hAnsi="Times New Roman"/>
                <w:b/>
                <w:bCs/>
                <w:i w:val="false"/>
                <w:iCs w:val="false"/>
                <w:sz w:val="22"/>
                <w:szCs w:val="22"/>
              </w:rPr>
              <w:t xml:space="preserve">Giá vốn dịch vụ (COGS)</w:t>
            </w:r>
          </w:p>
        </w:tc>
        <w:tc>
          <w:tcPr>
            <w:shd w:fill="E5E7EB" w:val="clear"/>
            <w:tcMar>
              <w:left w:type="dxa" w:w="100"/>
              <w:right w:type="dxa" w:w="100"/>
            </w:tcMar>
          </w:tcPr>
          <w:p>
            <w:pPr>
              <w:spacing w:after="50" w:before="50"/>
              <w:jc w:val="center"/>
            </w:pPr>
            <w:r>
              <w:rPr>
                <w:rFonts w:ascii="Times New Roman" w:cs="Times New Roman" w:eastAsia="Times New Roman" w:hAnsi="Times New Roman"/>
                <w:b/>
                <w:bCs/>
                <w:i w:val="false"/>
                <w:iCs w:val="false"/>
                <w:sz w:val="22"/>
                <w:szCs w:val="22"/>
              </w:rPr>
              <w:t xml:space="preserve">48.000</w:t>
            </w:r>
          </w:p>
        </w:tc>
      </w:tr>
    </w:tbl>
    <w:p>
      <w:pPr>
        <w:spacing w:after="40" w:before="40"/>
      </w:pPr>
    </w:p>
    <w:p>
      <w:pPr>
        <w:spacing w:after="100" w:before="100"/>
      </w:pPr>
      <w:r>
        <w:rPr>
          <w:rFonts w:ascii="Times New Roman" w:cs="Times New Roman" w:eastAsia="Times New Roman" w:hAnsi="Times New Roman"/>
          <w:b/>
          <w:bCs/>
          <w:i/>
          <w:iCs/>
          <w:sz w:val="22"/>
          <w:szCs w:val="22"/>
        </w:rPr>
        <w:t xml:space="preserve">Ghi chú: </w:t>
      </w:r>
      <w:r>
        <w:rPr>
          <w:rFonts w:ascii="Times New Roman" w:cs="Times New Roman" w:eastAsia="Times New Roman" w:hAnsi="Times New Roman"/>
          <w:i/>
          <w:iCs/>
          <w:sz w:val="22"/>
          <w:szCs w:val="22"/>
        </w:rPr>
        <w:t xml:space="preserve">Việc tối ưu hóa nguồn lực chặng cuối (Last-mile) và giảm thiểu thời gian chờ (Waiting time) tại các Trung tâm khai thác là chìa khóa để giảm C</w:t>
      </w:r>
      <w:r>
        <w:rPr>
          <w:rFonts w:ascii="Times New Roman" w:cs="Times New Roman" w:eastAsia="Times New Roman" w:hAnsi="Times New Roman"/>
          <w:i/>
          <w:iCs/>
          <w:sz w:val="18"/>
          <w:szCs w:val="18"/>
          <w:vertAlign w:val="subscript"/>
        </w:rPr>
        <w:t xml:space="preserve">total</w:t>
      </w:r>
      <w:r>
        <w:rPr>
          <w:rFonts w:ascii="Times New Roman" w:cs="Times New Roman" w:eastAsia="Times New Roman" w:hAnsi="Times New Roman"/>
          <w:i/>
          <w:iCs/>
          <w:sz w:val="22"/>
          <w:szCs w:val="22"/>
        </w:rPr>
        <w:t xml:space="preserve"> và nâng cao năng lực cạnh tranh cho Viettel Post.</w:t>
      </w:r>
    </w:p>
    <w:sectPr>
      <w:pgSz w:w="11906" w:h="16838" w:orient="portrait"/>
      <w:pgMar w:top="1440" w:right="108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2026-07-30T04:54:13.202Z</dcterms:created>
  <dcterms:modified xsi:type="dcterms:W3CDTF">2026-07-30T04:54:13.232Z</dcterms:modified>
</cp:coreProperties>
</file>

<file path=docProps/custom.xml><?xml version="1.0" encoding="utf-8"?>
<Properties xmlns="http://schemas.openxmlformats.org/officeDocument/2006/custom-properties" xmlns:vt="http://schemas.openxmlformats.org/officeDocument/2006/docPropsVTypes"/>
</file>