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125A9" w14:textId="77777777" w:rsidR="006E1883" w:rsidRDefault="006E1883">
      <w:pPr>
        <w:spacing w:after="120" w:line="360" w:lineRule="auto"/>
        <w:jc w:val="both"/>
        <w:rPr>
          <w:rFonts w:ascii="Times New Roman" w:eastAsia="Times New Roman" w:hAnsi="Times New Roman" w:cs="Times New Roman"/>
          <w:b/>
          <w:bCs/>
          <w:sz w:val="26"/>
          <w:szCs w:val="26"/>
        </w:rPr>
      </w:pPr>
    </w:p>
    <w:p w14:paraId="1CBEAC06" w14:textId="77777777" w:rsidR="006E1883" w:rsidRDefault="006E1883">
      <w:pPr>
        <w:spacing w:after="120" w:line="360" w:lineRule="auto"/>
        <w:rPr>
          <w:rFonts w:ascii="Times New Roman" w:eastAsia="Times New Roman" w:hAnsi="Times New Roman" w:cs="Times New Roman"/>
          <w:sz w:val="26"/>
          <w:szCs w:val="26"/>
        </w:rPr>
      </w:pPr>
    </w:p>
    <w:p w14:paraId="59DA1DBF" w14:textId="77777777" w:rsidR="006E1883" w:rsidRDefault="006E1883">
      <w:pPr>
        <w:spacing w:after="120" w:line="360" w:lineRule="auto"/>
        <w:jc w:val="center"/>
        <w:rPr>
          <w:rFonts w:ascii="Times New Roman" w:eastAsia="Times New Roman" w:hAnsi="Times New Roman" w:cs="Times New Roman"/>
          <w:sz w:val="26"/>
          <w:szCs w:val="26"/>
        </w:rPr>
      </w:pPr>
    </w:p>
    <w:p w14:paraId="1FB411BD" w14:textId="77777777" w:rsidR="006E1883" w:rsidRDefault="005F078C">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9AE4B3" wp14:editId="30448810">
            <wp:extent cx="1969137" cy="162314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5A1941F8" w14:textId="77777777" w:rsidR="006E1883" w:rsidRDefault="006E1883">
      <w:pPr>
        <w:spacing w:after="120" w:line="360" w:lineRule="auto"/>
        <w:jc w:val="center"/>
        <w:rPr>
          <w:rFonts w:ascii="Times New Roman" w:eastAsia="Times New Roman" w:hAnsi="Times New Roman" w:cs="Times New Roman"/>
          <w:sz w:val="26"/>
          <w:szCs w:val="26"/>
        </w:rPr>
      </w:pPr>
    </w:p>
    <w:p w14:paraId="1604BDC8"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ĐỒ ÁN KẾT THÚC MÔN</w:t>
      </w:r>
    </w:p>
    <w:p w14:paraId="4EF170B4"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1F7D9B6F" w14:textId="77777777" w:rsidR="006E1883" w:rsidRDefault="005F078C">
      <w:pPr>
        <w:spacing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HỆ THỐNG QUẢN TRỊ QUI TRÌNH NGHIỆP VỤ</w:t>
      </w:r>
    </w:p>
    <w:p w14:paraId="30C0B656" w14:textId="77777777" w:rsidR="006E1883" w:rsidRDefault="006E1883">
      <w:pPr>
        <w:spacing w:after="120" w:line="360" w:lineRule="auto"/>
        <w:rPr>
          <w:rFonts w:ascii="Times New Roman" w:eastAsia="Times New Roman" w:hAnsi="Times New Roman" w:cs="Times New Roman"/>
          <w:sz w:val="28"/>
          <w:szCs w:val="28"/>
        </w:rPr>
      </w:pPr>
    </w:p>
    <w:p w14:paraId="6C1FBFE1" w14:textId="77777777" w:rsidR="006E1883" w:rsidRDefault="006E1883">
      <w:pPr>
        <w:spacing w:after="120" w:line="360" w:lineRule="auto"/>
        <w:rPr>
          <w:rFonts w:ascii="Times New Roman" w:eastAsia="Times New Roman" w:hAnsi="Times New Roman" w:cs="Times New Roman"/>
          <w:sz w:val="28"/>
          <w:szCs w:val="28"/>
        </w:rPr>
      </w:pPr>
    </w:p>
    <w:p w14:paraId="1911154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Môn học: IE203.F32.LT.CNTT</w:t>
      </w:r>
    </w:p>
    <w:p w14:paraId="3F68EB2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hướng dẫn: ThS. Hà Lê Hoài Trung</w:t>
      </w:r>
    </w:p>
    <w:p w14:paraId="37111147" w14:textId="77777777" w:rsidR="006E1883" w:rsidRDefault="006E1883">
      <w:pPr>
        <w:spacing w:after="120" w:line="360" w:lineRule="auto"/>
        <w:jc w:val="center"/>
        <w:rPr>
          <w:rFonts w:ascii="Times New Roman" w:eastAsia="Times New Roman" w:hAnsi="Times New Roman" w:cs="Times New Roman"/>
          <w:sz w:val="28"/>
          <w:szCs w:val="28"/>
        </w:rPr>
      </w:pPr>
    </w:p>
    <w:p w14:paraId="24D0A4CA" w14:textId="77777777" w:rsidR="006E1883" w:rsidRDefault="006E1883">
      <w:pPr>
        <w:spacing w:after="120" w:line="360" w:lineRule="auto"/>
        <w:jc w:val="center"/>
        <w:rPr>
          <w:rFonts w:ascii="Times New Roman" w:eastAsia="Times New Roman" w:hAnsi="Times New Roman" w:cs="Times New Roman"/>
          <w:sz w:val="28"/>
          <w:szCs w:val="28"/>
        </w:rPr>
      </w:pPr>
    </w:p>
    <w:p w14:paraId="734EA49C"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2B0DDC99"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Nhóm 8</w:t>
      </w:r>
    </w:p>
    <w:p w14:paraId="4DD4B106"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Lớp: LT.K2025.2-CNTT</w:t>
      </w:r>
    </w:p>
    <w:p w14:paraId="73980C0B"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thực hiện: 9/7/2026</w:t>
      </w:r>
    </w:p>
    <w:p w14:paraId="2B12EC2C" w14:textId="77777777" w:rsidR="006E1883" w:rsidRDefault="006E1883">
      <w:pPr>
        <w:spacing w:after="120" w:line="360" w:lineRule="auto"/>
        <w:rPr>
          <w:rFonts w:ascii="Times New Roman" w:eastAsia="Times New Roman" w:hAnsi="Times New Roman" w:cs="Times New Roman"/>
          <w:sz w:val="28"/>
          <w:szCs w:val="28"/>
        </w:rPr>
      </w:pPr>
    </w:p>
    <w:p w14:paraId="0FFB164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2E9331EF" w14:textId="77777777" w:rsidR="006E1883" w:rsidRDefault="006E1883">
      <w:pPr>
        <w:rPr>
          <w:rFonts w:ascii="Times New Roman" w:eastAsia="Times New Roman" w:hAnsi="Times New Roman" w:cs="Times New Roman"/>
        </w:rPr>
      </w:pPr>
    </w:p>
    <w:p w14:paraId="5FEF6CDF"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977584716"/>
        <w:lock w:val="contentLocked"/>
      </w:sdtPr>
      <w:sdtEnd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E1883" w14:paraId="098844CD" w14:textId="77777777">
            <w:trPr>
              <w:jc w:val="center"/>
              <w:cantSplit/>
            </w:trPr>
            <w:tc>
              <w:tcPr>
                <w:tcW w:w="4513" w:type="dxa"/>
                <w:shd w:val="clear" w:color="auto" w:fill="auto"/>
                <w:tcMar>
                  <w:top w:w="100" w:type="dxa"/>
                  <w:left w:w="100" w:type="dxa"/>
                  <w:bottom w:w="100" w:type="dxa"/>
                  <w:right w:w="100" w:type="dxa"/>
                </w:tcMar>
              </w:tcPr>
              <w:p w14:paraId="7F30990D"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066C7319"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E1883" w14:paraId="066211D0" w14:textId="77777777">
            <w:trPr>
              <w:jc w:val="center"/>
              <w:cantSplit/>
            </w:trPr>
            <w:tc>
              <w:tcPr>
                <w:tcW w:w="4513" w:type="dxa"/>
                <w:shd w:val="clear" w:color="auto" w:fill="auto"/>
                <w:tcMar>
                  <w:top w:w="100" w:type="dxa"/>
                  <w:left w:w="100" w:type="dxa"/>
                  <w:bottom w:w="100" w:type="dxa"/>
                  <w:right w:w="100" w:type="dxa"/>
                </w:tcMar>
              </w:tcPr>
              <w:p w14:paraId="4BC42139"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shd w:val="clear" w:color="auto" w:fill="auto"/>
                <w:tcMar>
                  <w:top w:w="100" w:type="dxa"/>
                  <w:left w:w="100" w:type="dxa"/>
                  <w:bottom w:w="100" w:type="dxa"/>
                  <w:right w:w="100" w:type="dxa"/>
                </w:tcMar>
              </w:tcPr>
              <w:p w14:paraId="3E3B5CC0"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E1883" w14:paraId="42586E61" w14:textId="77777777">
            <w:trPr>
              <w:jc w:val="center"/>
              <w:cantSplit/>
            </w:trPr>
            <w:tc>
              <w:tcPr>
                <w:tcW w:w="4513" w:type="dxa"/>
                <w:shd w:val="clear" w:color="auto" w:fill="auto"/>
                <w:tcMar>
                  <w:top w:w="100" w:type="dxa"/>
                  <w:left w:w="100" w:type="dxa"/>
                  <w:bottom w:w="100" w:type="dxa"/>
                  <w:right w:w="100" w:type="dxa"/>
                </w:tcMar>
              </w:tcPr>
              <w:p w14:paraId="7B5206C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shd w:val="clear" w:color="auto" w:fill="auto"/>
                <w:tcMar>
                  <w:top w:w="100" w:type="dxa"/>
                  <w:left w:w="100" w:type="dxa"/>
                  <w:bottom w:w="100" w:type="dxa"/>
                  <w:right w:w="100" w:type="dxa"/>
                </w:tcMar>
              </w:tcPr>
              <w:p w14:paraId="14DB765C"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E1883" w14:paraId="35FE26D0" w14:textId="77777777">
            <w:trPr>
              <w:jc w:val="center"/>
              <w:cantSplit/>
            </w:trPr>
            <w:tc>
              <w:tcPr>
                <w:tcW w:w="4513" w:type="dxa"/>
                <w:shd w:val="clear" w:color="auto" w:fill="auto"/>
                <w:tcMar>
                  <w:top w:w="100" w:type="dxa"/>
                  <w:left w:w="100" w:type="dxa"/>
                  <w:bottom w:w="100" w:type="dxa"/>
                  <w:right w:w="100" w:type="dxa"/>
                </w:tcMar>
              </w:tcPr>
              <w:p w14:paraId="558F599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shd w:val="clear" w:color="auto" w:fill="auto"/>
                <w:tcMar>
                  <w:top w:w="100" w:type="dxa"/>
                  <w:left w:w="100" w:type="dxa"/>
                  <w:bottom w:w="100" w:type="dxa"/>
                  <w:right w:w="100" w:type="dxa"/>
                </w:tcMar>
              </w:tcPr>
              <w:p w14:paraId="776D4507"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E1883" w14:paraId="72DFF103" w14:textId="77777777">
            <w:trPr>
              <w:jc w:val="center"/>
              <w:cantSplit/>
            </w:trPr>
            <w:tc>
              <w:tcPr>
                <w:tcW w:w="4513" w:type="dxa"/>
                <w:shd w:val="clear" w:color="auto" w:fill="auto"/>
                <w:tcMar>
                  <w:top w:w="100" w:type="dxa"/>
                  <w:left w:w="100" w:type="dxa"/>
                  <w:bottom w:w="100" w:type="dxa"/>
                  <w:right w:w="100" w:type="dxa"/>
                </w:tcMar>
              </w:tcPr>
              <w:p w14:paraId="7223CA68"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shd w:val="clear" w:color="auto" w:fill="auto"/>
                <w:tcMar>
                  <w:top w:w="100" w:type="dxa"/>
                  <w:left w:w="100" w:type="dxa"/>
                  <w:bottom w:w="100" w:type="dxa"/>
                  <w:right w:w="100" w:type="dxa"/>
                </w:tcMar>
              </w:tcPr>
              <w:p w14:paraId="6218F79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E1883" w14:paraId="457752BC" w14:textId="77777777">
            <w:trPr>
              <w:jc w:val="center"/>
              <w:cantSplit/>
            </w:trPr>
            <w:tc>
              <w:tcPr>
                <w:tcW w:w="4513" w:type="dxa"/>
                <w:shd w:val="clear" w:color="auto" w:fill="auto"/>
                <w:tcMar>
                  <w:top w:w="100" w:type="dxa"/>
                  <w:left w:w="100" w:type="dxa"/>
                  <w:bottom w:w="100" w:type="dxa"/>
                  <w:right w:w="100" w:type="dxa"/>
                </w:tcMar>
              </w:tcPr>
              <w:p w14:paraId="142DFC06"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shd w:val="clear" w:color="auto" w:fill="auto"/>
                <w:tcMar>
                  <w:top w:w="100" w:type="dxa"/>
                  <w:left w:w="100" w:type="dxa"/>
                  <w:bottom w:w="100" w:type="dxa"/>
                  <w:right w:w="100" w:type="dxa"/>
                </w:tcMar>
              </w:tcPr>
              <w:p w14:paraId="432A367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E1883" w14:paraId="00A01783" w14:textId="77777777">
            <w:trPr>
              <w:jc w:val="center"/>
              <w:cantSplit/>
            </w:trPr>
            <w:tc>
              <w:tcPr>
                <w:tcW w:w="4513" w:type="dxa"/>
                <w:shd w:val="clear" w:color="auto" w:fill="auto"/>
                <w:tcMar>
                  <w:top w:w="100" w:type="dxa"/>
                  <w:left w:w="100" w:type="dxa"/>
                  <w:bottom w:w="100" w:type="dxa"/>
                  <w:right w:w="100" w:type="dxa"/>
                </w:tcMar>
              </w:tcPr>
              <w:p w14:paraId="0DADCD4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shd w:val="clear" w:color="auto" w:fill="auto"/>
                <w:tcMar>
                  <w:top w:w="100" w:type="dxa"/>
                  <w:left w:w="100" w:type="dxa"/>
                  <w:bottom w:w="100" w:type="dxa"/>
                  <w:right w:w="100" w:type="dxa"/>
                </w:tcMar>
              </w:tcPr>
              <w:p w14:paraId="5FA9654D"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E1883" w14:paraId="47BB7677" w14:textId="77777777">
            <w:trPr>
              <w:jc w:val="center"/>
              <w:cantSplit/>
            </w:trPr>
            <w:tc>
              <w:tcPr>
                <w:tcW w:w="4513" w:type="dxa"/>
                <w:shd w:val="clear" w:color="auto" w:fill="auto"/>
                <w:tcMar>
                  <w:top w:w="100" w:type="dxa"/>
                  <w:left w:w="100" w:type="dxa"/>
                  <w:bottom w:w="100" w:type="dxa"/>
                  <w:right w:w="100" w:type="dxa"/>
                </w:tcMar>
              </w:tcPr>
              <w:p w14:paraId="18B2BC95"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shd w:val="clear" w:color="auto" w:fill="auto"/>
                <w:tcMar>
                  <w:top w:w="100" w:type="dxa"/>
                  <w:left w:w="100" w:type="dxa"/>
                  <w:bottom w:w="100" w:type="dxa"/>
                  <w:right w:w="100" w:type="dxa"/>
                </w:tcMar>
              </w:tcPr>
              <w:p w14:paraId="1BF9584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HUY</w:t>
                </w:r>
              </w:p>
            </w:tc>
          </w:tr>
        </w:tbl>
      </w:sdtContent>
    </w:sdt>
    <w:p w14:paraId="7DBC81F0"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D1E074"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659C9D2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4446BBC9" w14:textId="77777777" w:rsidR="006E1883" w:rsidRDefault="006E1883">
      <w:pPr>
        <w:rPr>
          <w:rFonts w:ascii="Times New Roman" w:eastAsia="Times New Roman" w:hAnsi="Times New Roman" w:cs="Times New Roman"/>
        </w:rPr>
      </w:pPr>
    </w:p>
    <w:p w14:paraId="689EF232" w14:textId="77777777" w:rsidR="006E1883" w:rsidRDefault="006E1883">
      <w:pPr>
        <w:rPr>
          <w:rFonts w:ascii="Times New Roman" w:eastAsia="Times New Roman" w:hAnsi="Times New Roman" w:cs="Times New Roman"/>
        </w:rPr>
      </w:pPr>
    </w:p>
    <w:p w14:paraId="34BE62BF"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06DF1986"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37E2DEE1"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158D363B"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65663CC3"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1E36020C" w14:textId="77777777" w:rsidR="006E1883" w:rsidRDefault="006E1883">
      <w:pPr>
        <w:rPr>
          <w:rFonts w:ascii="Times New Roman" w:eastAsia="Times New Roman" w:hAnsi="Times New Roman" w:cs="Times New Roman"/>
        </w:rPr>
      </w:pPr>
    </w:p>
    <w:p w14:paraId="18F94DD8" w14:textId="77777777" w:rsidR="006E1883" w:rsidRDefault="006E1883">
      <w:pPr>
        <w:rPr>
          <w:rFonts w:ascii="Times New Roman" w:eastAsia="Times New Roman" w:hAnsi="Times New Roman" w:cs="Times New Roman"/>
        </w:rPr>
      </w:pPr>
    </w:p>
    <w:p w14:paraId="2F2C15E3" w14:textId="77777777" w:rsidR="006E1883" w:rsidRDefault="006E1883">
      <w:pPr>
        <w:rPr>
          <w:rFonts w:ascii="Times New Roman" w:eastAsia="Times New Roman" w:hAnsi="Times New Roman" w:cs="Times New Roman"/>
        </w:rPr>
      </w:pPr>
    </w:p>
    <w:p w14:paraId="495064B4" w14:textId="77777777" w:rsidR="006E1883" w:rsidRDefault="006E1883">
      <w:pPr>
        <w:rPr>
          <w:rFonts w:ascii="Times New Roman" w:eastAsia="Times New Roman" w:hAnsi="Times New Roman" w:cs="Times New Roman"/>
        </w:rPr>
      </w:pPr>
    </w:p>
    <w:p w14:paraId="2C3432EC" w14:textId="77777777" w:rsidR="006E1883" w:rsidRDefault="006E1883">
      <w:pPr>
        <w:rPr>
          <w:rFonts w:ascii="Times New Roman" w:eastAsia="Times New Roman" w:hAnsi="Times New Roman" w:cs="Times New Roman"/>
        </w:rPr>
      </w:pPr>
    </w:p>
    <w:p w14:paraId="69923FEE" w14:textId="77777777" w:rsidR="006E1883" w:rsidRDefault="006E1883">
      <w:pPr>
        <w:rPr>
          <w:rFonts w:ascii="Times New Roman" w:eastAsia="Times New Roman" w:hAnsi="Times New Roman" w:cs="Times New Roman"/>
        </w:rPr>
      </w:pPr>
    </w:p>
    <w:p w14:paraId="2AAB7025" w14:textId="77777777" w:rsidR="006E1883" w:rsidRDefault="006E1883">
      <w:pPr>
        <w:rPr>
          <w:rFonts w:ascii="Times New Roman" w:eastAsia="Times New Roman" w:hAnsi="Times New Roman" w:cs="Times New Roman"/>
        </w:rPr>
      </w:pPr>
    </w:p>
    <w:p w14:paraId="0DF9F763" w14:textId="77777777" w:rsidR="006E1883" w:rsidRDefault="006E1883">
      <w:pPr>
        <w:rPr>
          <w:rFonts w:ascii="Times New Roman" w:eastAsia="Times New Roman" w:hAnsi="Times New Roman" w:cs="Times New Roman"/>
        </w:rPr>
      </w:pPr>
    </w:p>
    <w:p w14:paraId="4994506E" w14:textId="77777777" w:rsidR="006E1883" w:rsidRDefault="006E1883">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59DE6007"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9647928"/>
        <w:docPartObj>
          <w:docPartGallery w:val="Table of Contents"/>
          <w:docPartUnique/>
        </w:docPartObj>
      </w:sdtPr>
      <w:sdtEndPr/>
      <w:sdtContent>
        <w:p>
          <w:pPr>
            <w:spacing w:before="0" w:after="0" w:line="240" w:lineRule="auto"/>
          </w:pPr>
          <w:r>
            <w:fldChar w:fldCharType="begin"/>
          </w:r>
          <w:r>
            <w:instrText xml:space="preserve"> TOC \h \u \z \t "Heading 1,1,Heading 2,2,Heading 3,3" </w:instrText>
          </w:r>
          <w:r>
            <w:fldChar w:fldCharType="separate"/>
          </w:r>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104332181">
            <w:r>
              <w:rPr>
                <w:rFonts w:ascii="Times New Roman" w:eastAsia="Times New Roman" w:hAnsi="Times New Roman" w:cs="Times New Roman"/>
                <w:b/>
                <w:bCs/>
                <w:color w:val="000000"/>
              </w:rPr>
              <w:t xml:space="preserve">CHƯƠNG 1. GIỚI THIỆU CÔNG TY VIETTEL 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_Toc104332181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4</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960013389">
            <w:r>
              <w:rPr>
                <w:rFonts w:ascii="Times New Roman" w:eastAsia="Times New Roman" w:hAnsi="Times New Roman" w:cs="Times New Roman"/>
                <w:color w:val="000000"/>
              </w:rPr>
              <w:t xml:space="preserve">1.1. Tổng quan về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_Toc960013389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83863794">
            <w:r>
              <w:rPr>
                <w:rFonts w:ascii="Times New Roman" w:eastAsia="Times New Roman" w:hAnsi="Times New Roman" w:cs="Times New Roman"/>
                <w:color w:val="000000"/>
              </w:rPr>
              <w:t xml:space="preserve">1.1.1. Lịch sử hình thành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_Toc083863794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26542351">
            <w:r>
              <w:rPr>
                <w:rFonts w:ascii="Times New Roman" w:eastAsia="Times New Roman" w:hAnsi="Times New Roman" w:cs="Times New Roman"/>
                <w:color w:val="000000"/>
              </w:rPr>
              <w:t xml:space="preserve">1.1.2. Quy mô và lĩnh vực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_Toc026542351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161559407">
            <w:r>
              <w:rPr>
                <w:rFonts w:ascii="Times New Roman" w:eastAsia="Times New Roman" w:hAnsi="Times New Roman" w:cs="Times New Roman"/>
                <w:color w:val="000000"/>
              </w:rPr>
              <w:t xml:space="preserve">1.1.3. Thành tựu nổi bật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_Toc161559407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816184959">
            <w:r>
              <w:rPr>
                <w:rFonts w:ascii="Times New Roman" w:eastAsia="Times New Roman" w:hAnsi="Times New Roman" w:cs="Times New Roman"/>
                <w:color w:val="000000"/>
              </w:rPr>
              <w:t xml:space="preserve">1.2. Cơ cấu tổ chức và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_Toc816184959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310341316">
            <w:r>
              <w:rPr>
                <w:rFonts w:ascii="Times New Roman" w:eastAsia="Times New Roman" w:hAnsi="Times New Roman" w:cs="Times New Roman"/>
                <w:color w:val="000000"/>
              </w:rPr>
              <w:t xml:space="preserve">1.2.1. Cơ cấu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_Toc310341316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75255341">
            <w:r>
              <w:rPr>
                <w:rFonts w:ascii="Times New Roman" w:eastAsia="Times New Roman" w:hAnsi="Times New Roman" w:cs="Times New Roman"/>
                <w:color w:val="000000"/>
              </w:rPr>
              <w:t xml:space="preserve">1.2.2.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_Toc475255341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6</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928327648">
            <w:r>
              <w:rPr>
                <w:rFonts w:ascii="Times New Roman" w:eastAsia="Times New Roman" w:hAnsi="Times New Roman" w:cs="Times New Roman"/>
                <w:b/>
                <w:bCs/>
                <w:color w:val="000000"/>
              </w:rPr>
              <w:t xml:space="preserve">CHƯƠNG 2. HỆ THỐNG QUY TRÌNH NGHIỆP VỤ VIETTELPOST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_Toc928327648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7</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350305641">
            <w:r>
              <w:rPr>
                <w:rFonts w:ascii="Times New Roman" w:eastAsia="Times New Roman" w:hAnsi="Times New Roman" w:cs="Times New Roman"/>
                <w:color w:val="000000"/>
              </w:rPr>
              <w:t xml:space="preserve">2.1. Kiến trúc quy trình nghiệp vụ của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_Toc350305641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7</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395376724">
            <w:r>
              <w:rPr>
                <w:rFonts w:ascii="Times New Roman" w:eastAsia="Times New Roman" w:hAnsi="Times New Roman" w:cs="Times New Roman"/>
                <w:b/>
                <w:bCs/>
                <w:color w:val="000000"/>
              </w:rPr>
              <w:t xml:space="preserve">CHƯƠNG 3. PHƯƠNG PHÁP THỰC HIỆN</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_Toc395376724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11</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238849696">
            <w:r>
              <w:rPr>
                <w:rFonts w:ascii="Times New Roman" w:eastAsia="Times New Roman" w:hAnsi="Times New Roman" w:cs="Times New Roman"/>
                <w:color w:val="000000"/>
              </w:rPr>
              <w:t xml:space="preserve">3.1. Dựa trên bằng chứng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_Toc238849696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11</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532871012">
            <w:r>
              <w:rPr>
                <w:rFonts w:ascii="Times New Roman" w:eastAsia="Times New Roman" w:hAnsi="Times New Roman" w:cs="Times New Roman"/>
                <w:color w:val="000000"/>
              </w:rPr>
              <w:t xml:space="preserve">3.1.1. Sơ đồ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_Toc532871012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269166978">
            <w:r>
              <w:rPr>
                <w:rFonts w:ascii="Times New Roman" w:eastAsia="Times New Roman" w:hAnsi="Times New Roman" w:cs="Times New Roman"/>
                <w:color w:val="000000"/>
              </w:rPr>
              <w:t xml:space="preserve">3.1.2. Kế hoạch làm việc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_Toc269166978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80184514">
            <w:r>
              <w:rPr>
                <w:rFonts w:ascii="Times New Roman" w:eastAsia="Times New Roman" w:hAnsi="Times New Roman" w:cs="Times New Roman"/>
                <w:color w:val="000000"/>
              </w:rPr>
              <w:t xml:space="preserve">3.1.3. Thuật ngữ và sổ tay</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_Toc480184514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13</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627048281">
            <w:r>
              <w:rPr>
                <w:rFonts w:ascii="Times New Roman" w:eastAsia="Times New Roman" w:hAnsi="Times New Roman" w:cs="Times New Roman"/>
                <w:color w:val="000000"/>
              </w:rPr>
              <w:t xml:space="preserve">3.1.4. Biểu mẫu nghiệp vụ</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_Toc627048281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489325288">
            <w:r>
              <w:rPr>
                <w:rFonts w:ascii="Times New Roman" w:eastAsia="Times New Roman" w:hAnsi="Times New Roman" w:cs="Times New Roman"/>
                <w:color w:val="000000"/>
              </w:rPr>
              <w:t xml:space="preserve">3.2. Phỏng vấn</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_Toc489325288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19</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95701543">
            <w:r>
              <w:rPr>
                <w:rFonts w:ascii="Times New Roman" w:eastAsia="Times New Roman" w:hAnsi="Times New Roman" w:cs="Times New Roman"/>
                <w:color w:val="000000"/>
              </w:rPr>
              <w:t xml:space="preserve">3.2.1. Câu hỏi định tính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_Toc095701543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19</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39117182">
            <w:r>
              <w:rPr>
                <w:rFonts w:ascii="Times New Roman" w:eastAsia="Times New Roman" w:hAnsi="Times New Roman" w:cs="Times New Roman"/>
                <w:color w:val="000000"/>
              </w:rPr>
              <w:t xml:space="preserve">3.2.2. Câu hỏi định lượng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_Toc039117182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22</w:t>
            </w:r>
            <w:r>
              <w:rPr>
                <w:rFonts w:ascii="Times New Roman" w:eastAsia="Times New Roman" w:hAnsi="Times New Roman" w:cs="Times New Roman"/>
                <w:color w:val="000000"/>
              </w:rPr>
              <w:fldChar w:fldCharType="end"/>
            </w:r>
          </w:hyperlink>
          <w:r>
            <w:fldChar w:fldCharType="end"/>
          </w:r>
        </w:p>
      </w:sdtContent>
    </w:sdt>
    <w:p w14:paraId="3ADA0425" w14:textId="77777777" w:rsidR="006E1883" w:rsidRDefault="006E1883">
      <w:pPr>
        <w:spacing w:after="120" w:line="360" w:lineRule="auto"/>
        <w:rPr>
          <w:rFonts w:ascii="Times New Roman" w:eastAsia="Times New Roman" w:hAnsi="Times New Roman" w:cs="Times New Roman"/>
          <w:b/>
          <w:bCs/>
          <w:sz w:val="26"/>
          <w:szCs w:val="26"/>
        </w:rPr>
      </w:pPr>
    </w:p>
    <w:p w14:paraId="58DDC31A" w14:textId="77777777" w:rsidR="006E1883" w:rsidRDefault="006E1883">
      <w:pPr>
        <w:spacing w:after="120" w:line="360" w:lineRule="auto"/>
        <w:rPr>
          <w:rFonts w:ascii="Times New Roman" w:eastAsia="Times New Roman" w:hAnsi="Times New Roman" w:cs="Times New Roman"/>
          <w:b/>
          <w:bCs/>
          <w:sz w:val="26"/>
          <w:szCs w:val="26"/>
        </w:rPr>
      </w:pPr>
    </w:p>
    <w:p w14:paraId="4E92971C" w14:textId="77777777" w:rsidR="006E1883" w:rsidRDefault="006E1883">
      <w:pPr>
        <w:spacing w:after="120" w:line="360" w:lineRule="auto"/>
        <w:rPr>
          <w:rFonts w:ascii="Times New Roman" w:eastAsia="Times New Roman" w:hAnsi="Times New Roman" w:cs="Times New Roman"/>
          <w:b/>
          <w:bCs/>
          <w:sz w:val="26"/>
          <w:szCs w:val="26"/>
        </w:rPr>
      </w:pPr>
    </w:p>
    <w:p w14:paraId="68BBDEC4" w14:textId="77777777" w:rsidR="006E1883" w:rsidRDefault="006E1883">
      <w:pPr>
        <w:spacing w:after="120" w:line="360" w:lineRule="auto"/>
        <w:rPr>
          <w:rFonts w:ascii="Times New Roman" w:eastAsia="Times New Roman" w:hAnsi="Times New Roman" w:cs="Times New Roman"/>
          <w:b/>
          <w:bCs/>
          <w:sz w:val="26"/>
          <w:szCs w:val="26"/>
        </w:rPr>
      </w:pPr>
    </w:p>
    <w:p w14:paraId="0A5DFDFE" w14:textId="77777777" w:rsidR="006E1883" w:rsidRDefault="006E1883">
      <w:pPr>
        <w:spacing w:after="120" w:line="360" w:lineRule="auto"/>
        <w:rPr>
          <w:rFonts w:ascii="Times New Roman" w:eastAsia="Times New Roman" w:hAnsi="Times New Roman" w:cs="Times New Roman"/>
          <w:b/>
          <w:bCs/>
          <w:sz w:val="26"/>
          <w:szCs w:val="26"/>
        </w:rPr>
      </w:pPr>
    </w:p>
    <w:p w14:paraId="52E5A541" w14:textId="77777777" w:rsidR="006E1883" w:rsidRDefault="006E1883">
      <w:pPr>
        <w:spacing w:after="120" w:line="360" w:lineRule="auto"/>
        <w:rPr>
          <w:rFonts w:ascii="Times New Roman" w:eastAsia="Times New Roman" w:hAnsi="Times New Roman" w:cs="Times New Roman"/>
          <w:b/>
          <w:bCs/>
          <w:sz w:val="26"/>
          <w:szCs w:val="26"/>
        </w:rPr>
      </w:pPr>
    </w:p>
    <w:p w14:paraId="4F01A05B" w14:textId="77777777" w:rsidR="006E1883" w:rsidRDefault="006E1883">
      <w:pPr>
        <w:spacing w:after="120" w:line="360" w:lineRule="auto"/>
        <w:rPr>
          <w:rFonts w:ascii="Times New Roman" w:eastAsia="Times New Roman" w:hAnsi="Times New Roman" w:cs="Times New Roman"/>
          <w:b/>
          <w:bCs/>
          <w:sz w:val="26"/>
          <w:szCs w:val="26"/>
        </w:rPr>
      </w:pPr>
    </w:p>
    <w:p w14:paraId="0C719290"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7C104712" w14:textId="77777777" w:rsidR="006E1883" w:rsidRDefault="006E1883">
      <w:pPr>
        <w:rPr>
          <w:rFonts w:ascii="Times New Roman" w:eastAsia="Times New Roman" w:hAnsi="Times New Roman" w:cs="Times New Roman"/>
        </w:rPr>
      </w:pPr>
    </w:p>
    <w:p w14:paraId="1783768D" w14:textId="77777777" w:rsidR="006E1883" w:rsidRDefault="006E1883">
      <w:pPr>
        <w:rPr>
          <w:rFonts w:ascii="Times New Roman" w:eastAsia="Times New Roman" w:hAnsi="Times New Roman" w:cs="Times New Roman"/>
        </w:rPr>
      </w:pPr>
    </w:p>
    <w:p w14:paraId="2967C030" w14:textId="77777777" w:rsidR="006E1883" w:rsidRDefault="006E1883">
      <w:pPr>
        <w:rPr>
          <w:rFonts w:ascii="Times New Roman" w:eastAsia="Times New Roman" w:hAnsi="Times New Roman" w:cs="Times New Roman"/>
        </w:rPr>
      </w:pPr>
    </w:p>
    <w:p w14:paraId="0C44B76D" w14:textId="77777777" w:rsidR="006E1883" w:rsidRDefault="006E1883">
      <w:pPr>
        <w:rPr>
          <w:rFonts w:ascii="Times New Roman" w:eastAsia="Times New Roman" w:hAnsi="Times New Roman" w:cs="Times New Roman"/>
        </w:rPr>
        <w:sectPr w:rsidR="006E1883">
          <w:headerReference w:type="default" r:id="rId9"/>
          <w:footerReference w:type="default" r:id="rId10"/>
          <w:headerReference w:type="first" r:id="rId11"/>
          <w:footerReference w:type="first" r:id="rId12"/>
          <w:pgSz w:w="11906" w:h="16838"/>
          <w:pgMar w:top="1440" w:right="1440" w:bottom="1440" w:left="1440" w:header="720" w:footer="720" w:gutter="0"/>
          <w:pgNumType w:start="1"/>
          <w:cols w:space="720"/>
          <w:titlePg/>
        </w:sectPr>
      </w:pPr>
    </w:p>
    <w:p w14:paraId="433D76BC" w14:textId="77777777" w:rsidR="006E1883" w:rsidRDefault="006E1883">
      <w:pPr>
        <w:rPr>
          <w:rFonts w:ascii="Times New Roman" w:eastAsia="Times New Roman" w:hAnsi="Times New Roman" w:cs="Times New Roman"/>
        </w:rPr>
      </w:pPr>
    </w:p>
    <w:p w14:paraId="2800F599" w14:textId="77777777" w:rsidR="006E1883" w:rsidRDefault="006E1883">
      <w:pPr>
        <w:rPr>
          <w:rFonts w:ascii="Times New Roman" w:eastAsia="Times New Roman" w:hAnsi="Times New Roman" w:cs="Times New Roman"/>
        </w:rPr>
      </w:pPr>
    </w:p>
    <w:p w14:paraId="47DAA641" w14:textId="77777777" w:rsidR="006E1883" w:rsidRDefault="006E1883">
      <w:pPr>
        <w:rPr>
          <w:rFonts w:ascii="Times New Roman" w:eastAsia="Times New Roman" w:hAnsi="Times New Roman" w:cs="Times New Roman"/>
        </w:rPr>
      </w:pPr>
    </w:p>
    <w:p w14:paraId="2A28E3E1" w14:textId="77777777" w:rsidR="006E1883" w:rsidRDefault="006E1883">
      <w:pPr>
        <w:rPr>
          <w:rFonts w:ascii="Times New Roman" w:eastAsia="Times New Roman" w:hAnsi="Times New Roman" w:cs="Times New Roman"/>
          <w:b/>
          <w:bCs/>
        </w:rPr>
      </w:pPr>
    </w:p>
    <w:p>
      <w:pPr>
        <w:pStyle w:val="Heading1"/>
        <w:spacing w:before="480" w:after="240" w:line="360" w:lineRule="auto"/>
        <w:jc w:val="center"/>
      </w:pPr>
      <w:bookmarkStart w:id="9001" w:name="_Toc104332181"/>
      <w:r>
        <w:rPr>
          <w:rFonts w:ascii="Times New Roman" w:eastAsia="Times New Roman" w:hAnsi="Times New Roman" w:cs="Times New Roman"/>
          <w:b/>
          <w:bCs/>
          <w:sz w:val="32"/>
          <w:szCs w:val="32"/>
        </w:rPr>
        <w:t xml:space="preserve">CHƯƠNG 1. GIỚI THIỆU CÔNG TY VIETTEL POST</w:t>
      </w:r>
      <w:bookmarkEnd w:id="9001"/>
    </w:p>
    <w:p>
      <w:pPr>
        <w:pStyle w:val="Heading2"/>
        <w:spacing w:before="280" w:after="140" w:line="360" w:lineRule="auto"/>
        <w:jc w:val="left"/>
      </w:pPr>
      <w:bookmarkStart w:id="9002" w:name="_Toc960013389"/>
      <w:r>
        <w:rPr>
          <w:rFonts w:ascii="Times New Roman" w:eastAsia="Times New Roman" w:hAnsi="Times New Roman" w:cs="Times New Roman"/>
          <w:b/>
          <w:bCs/>
          <w:sz w:val="27"/>
          <w:szCs w:val="27"/>
        </w:rPr>
        <w:t xml:space="preserve">1.1. Tổng quan về Viettel Post</w:t>
      </w:r>
      <w:bookmarkEnd w:id="9002"/>
    </w:p>
    <w:p>
      <w:pPr>
        <w:pStyle w:val="Heading3"/>
        <w:spacing w:before="220" w:after="100" w:line="360" w:lineRule="auto"/>
        <w:jc w:val="left"/>
      </w:pPr>
      <w:bookmarkStart w:id="9003" w:name="_Toc083863794"/>
      <w:r>
        <w:rPr>
          <w:rFonts w:ascii="Times New Roman" w:eastAsia="Times New Roman" w:hAnsi="Times New Roman" w:cs="Times New Roman"/>
          <w:b/>
          <w:bCs/>
          <w:sz w:val="26"/>
          <w:szCs w:val="26"/>
        </w:rPr>
        <w:t xml:space="preserve">1.1.1. Lịch sử hình thành</w:t>
      </w:r>
      <w:bookmarkEnd w:id="9003"/>
    </w:p>
    <w:p>
      <w:pPr>
        <w:spacing w:before="0" w:after="120" w:line="360" w:lineRule="auto"/>
        <w:jc w:val="both"/>
      </w:pPr>
      <w:r>
        <w:rPr>
          <w:rFonts w:ascii="Times New Roman" w:eastAsia="Times New Roman" w:hAnsi="Times New Roman" w:cs="Times New Roman"/>
          <w:sz w:val="26"/>
          <w:szCs w:val="26"/>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pPr>
        <w:spacing w:before="0" w:after="120" w:line="360" w:lineRule="auto"/>
        <w:jc w:val="both"/>
      </w:pPr>
      <w:r>
        <w:rPr>
          <w:rFonts w:ascii="Times New Roman" w:eastAsia="Times New Roman" w:hAnsi="Times New Roman" w:cs="Times New Roman"/>
          <w:sz w:val="26"/>
          <w:szCs w:val="26"/>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pPr>
        <w:pStyle w:val="Heading3"/>
        <w:spacing w:before="220" w:after="100" w:line="360" w:lineRule="auto"/>
        <w:jc w:val="left"/>
      </w:pPr>
      <w:bookmarkStart w:id="9004" w:name="_Toc026542351"/>
      <w:r>
        <w:rPr>
          <w:rFonts w:ascii="Times New Roman" w:eastAsia="Times New Roman" w:hAnsi="Times New Roman" w:cs="Times New Roman"/>
          <w:b/>
          <w:bCs/>
          <w:sz w:val="26"/>
          <w:szCs w:val="26"/>
        </w:rPr>
        <w:t xml:space="preserve">1.1.2. Quy mô và lĩnh vực kinh doanh</w:t>
      </w:r>
      <w:bookmarkEnd w:id="9004"/>
    </w:p>
    <w:p>
      <w:pPr>
        <w:spacing w:before="0" w:after="120" w:line="360" w:lineRule="auto"/>
        <w:jc w:val="both"/>
      </w:pPr>
      <w:r>
        <w:rPr>
          <w:rFonts w:ascii="Times New Roman" w:eastAsia="Times New Roman" w:hAnsi="Times New Roman" w:cs="Times New Roman"/>
          <w:sz w:val="26"/>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pPr>
        <w:spacing w:before="0" w:after="120" w:line="360" w:lineRule="auto"/>
        <w:jc w:val="both"/>
      </w:pPr>
      <w:r>
        <w:rPr>
          <w:rFonts w:ascii="Times New Roman" w:eastAsia="Times New Roman" w:hAnsi="Times New Roman" w:cs="Times New Roman"/>
          <w:sz w:val="26"/>
          <w:szCs w:val="26"/>
        </w:rPr>
        <w:t xml:space="preserve">Khách hàng có thể truy cập website viettelpost.com.vn để sử dụng hệ sinh thái dịch vụ logistics của Viettel Post,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Bốn dịch vụ vận tải &amp; kho: </w:t>
      </w:r>
      <w:r>
        <w:rPr>
          <w:rFonts w:ascii="Times New Roman" w:eastAsia="Times New Roman" w:hAnsi="Times New Roman" w:cs="Times New Roman"/>
          <w:sz w:val="26"/>
          <w:szCs w:val="26"/>
        </w:rPr>
        <w:t xml:space="preserve">vận tải nguyên chuyến, vận tải theo kiện, kho Fulfillment và vận tải hàng gom.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Dịch vụ Forwarding (giao nhận vận tải) và Hải quan: </w:t>
      </w:r>
      <w:r>
        <w:rPr>
          <w:rFonts w:ascii="Times New Roman" w:eastAsia="Times New Roman" w:hAnsi="Times New Roman" w:cs="Times New Roman"/>
          <w:sz w:val="26"/>
          <w:szCs w:val="26"/>
        </w:rPr>
        <w:t xml:space="preserve">hỗ trợ song song, phối hợp trong xử lý đơn hàng xuất nhập khẩu.</w:t>
      </w:r>
    </w:p>
    <w:p>
      <w:pPr>
        <w:spacing w:before="120" w:after="0" w:line="276" w:lineRule="auto"/>
        <w:jc w:val="center"/>
      </w:pPr>
      <w:r>
        <w:rPr>
          <w:rFonts w:ascii="Times New Roman" w:eastAsia="Times New Roman" w:hAnsi="Times New Roman" w:cs="Times New Roman"/>
          <w:noProof/>
        </w:rPr>
        <w:drawing>
          <wp:inline distT="0" distB="0" distL="0" distR="0" wp14:anchorId="901B1968" wp14:editId="97B95D54">
            <wp:extent cx="5486400" cy="2997510"/>
            <wp:effectExtent l="0" t="0" r="0" b="0"/>
            <wp:docPr id="101" name="SoDoHeSinhThaiLogistics"/>
            <wp:cNvGraphicFramePr/>
            <a:graphic xmlns:a="http://schemas.openxmlformats.org/drawingml/2006/main">
              <a:graphicData uri="http://schemas.openxmlformats.org/drawingml/2006/picture">
                <pic:pic xmlns:pic="http://schemas.openxmlformats.org/drawingml/2006/picture">
                  <pic:nvPicPr>
                    <pic:cNvPr id="101" name="SoDoHeSinhThaiLogistics"/>
                    <pic:cNvPicPr preferRelativeResize="0"/>
                  </pic:nvPicPr>
                  <pic:blipFill>
                    <a:blip r:embed="rId15"/>
                    <a:srcRect/>
                    <a:stretch>
                      <a:fillRect/>
                    </a:stretch>
                  </pic:blipFill>
                  <pic:spPr>
                    <a:xfrm>
                      <a:off x="0" y="0"/>
                      <a:ext cx="5486400" cy="299751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1.1 Sơ đồ hệ sinh thái dịch vụ logistics Viettel Post</w:t>
      </w:r>
    </w:p>
    <w:p>
      <w:pPr>
        <w:pStyle w:val="Heading3"/>
        <w:spacing w:before="220" w:after="100" w:line="360" w:lineRule="auto"/>
        <w:jc w:val="left"/>
      </w:pPr>
      <w:bookmarkStart w:id="9005" w:name="_Toc161559407"/>
      <w:r>
        <w:rPr>
          <w:rFonts w:ascii="Times New Roman" w:eastAsia="Times New Roman" w:hAnsi="Times New Roman" w:cs="Times New Roman"/>
          <w:b/>
          <w:bCs/>
          <w:sz w:val="26"/>
          <w:szCs w:val="26"/>
        </w:rPr>
        <w:t xml:space="preserve">1.1.3. Thành tựu nổi bật</w:t>
      </w:r>
      <w:bookmarkEnd w:id="9005"/>
    </w:p>
    <w:p>
      <w:pPr>
        <w:spacing w:before="0" w:after="120" w:line="360" w:lineRule="auto"/>
        <w:ind w:left="576" w:hanging="288"/>
        <w:jc w:val="both"/>
      </w:pPr>
      <w:r>
        <w:rPr>
          <w:rFonts w:ascii="Times New Roman" w:eastAsia="Times New Roman" w:hAnsi="Times New Roman" w:cs="Times New Roman"/>
          <w:sz w:val="26"/>
          <w:szCs w:val="26"/>
        </w:rPr>
        <w:t xml:space="preserve">•  Mạng lưới 63 chi nhánh trên toàn quốc, hơn 1.300 bưu cục và khoảng 6.000 đại lý thu gom.</w:t>
      </w:r>
    </w:p>
    <w:p>
      <w:pPr>
        <w:spacing w:before="0" w:after="120" w:line="360" w:lineRule="auto"/>
        <w:ind w:left="576" w:hanging="288"/>
        <w:jc w:val="both"/>
      </w:pPr>
      <w:r>
        <w:rPr>
          <w:rFonts w:ascii="Times New Roman" w:eastAsia="Times New Roman" w:hAnsi="Times New Roman" w:cs="Times New Roman"/>
          <w:sz w:val="26"/>
          <w:szCs w:val="26"/>
        </w:rPr>
        <w:t xml:space="preserve">•  Hơn 4.000 tuyến phát đến tận hộ gia đình, phủ sóng dịch vụ 100% trên toàn quốc.</w:t>
      </w:r>
    </w:p>
    <w:p>
      <w:pPr>
        <w:spacing w:before="0" w:after="120" w:line="360" w:lineRule="auto"/>
        <w:ind w:left="576" w:hanging="288"/>
        <w:jc w:val="both"/>
      </w:pPr>
      <w:r>
        <w:rPr>
          <w:rFonts w:ascii="Times New Roman" w:eastAsia="Times New Roman" w:hAnsi="Times New Roman" w:cs="Times New Roman"/>
          <w:sz w:val="26"/>
          <w:szCs w:val="26"/>
        </w:rPr>
        <w:t xml:space="preserve">•  Doanh thu hợp nhất 6 tháng đầu năm 2025 đạt 10.066 tỷ đồng.</w:t>
      </w:r>
    </w:p>
    <w:p>
      <w:pPr>
        <w:spacing w:before="0" w:after="120" w:line="360" w:lineRule="auto"/>
        <w:ind w:left="576" w:hanging="288"/>
        <w:jc w:val="both"/>
      </w:pPr>
      <w:r>
        <w:rPr>
          <w:rFonts w:ascii="Times New Roman" w:eastAsia="Times New Roman" w:hAnsi="Times New Roman" w:cs="Times New Roman"/>
          <w:sz w:val="26"/>
          <w:szCs w:val="26"/>
        </w:rPr>
        <w:t xml:space="preserve">•  Là một trong những doanh nghiệp chuyển phát và logistics hàng đầu Việt Nam, tích cực đẩy mạnh ứng dụng AI và chuyển đổi số trong vận hành.</w:t>
      </w:r>
    </w:p>
    <w:p>
      <w:pPr>
        <w:spacing w:before="0" w:after="200" w:line="276" w:lineRule="auto"/>
        <w:jc w:val="center"/>
      </w:pPr>
      <w:r>
        <w:rPr>
          <w:rFonts w:ascii="Times New Roman" w:eastAsia="Times New Roman" w:hAnsi="Times New Roman" w:cs="Times New Roman"/>
          <w:i/>
          <w:iCs/>
          <w:sz w:val="22"/>
          <w:szCs w:val="22"/>
        </w:rPr>
        <w:t xml:space="preserve">Nguồn: Viettel Post và các tài liệu công bố, tổng hợp đến năm 2025.</w:t>
      </w:r>
    </w:p>
    <w:p>
      <w:pPr>
        <w:pStyle w:val="Heading2"/>
        <w:spacing w:before="280" w:after="140" w:line="360" w:lineRule="auto"/>
        <w:jc w:val="left"/>
      </w:pPr>
      <w:bookmarkStart w:id="9006" w:name="_Toc816184959"/>
      <w:r>
        <w:rPr>
          <w:rFonts w:ascii="Times New Roman" w:eastAsia="Times New Roman" w:hAnsi="Times New Roman" w:cs="Times New Roman"/>
          <w:b/>
          <w:bCs/>
          <w:sz w:val="27"/>
          <w:szCs w:val="27"/>
        </w:rPr>
        <w:t xml:space="preserve">1.2. Cơ cấu tổ chức và hoạt động kinh doanh</w:t>
      </w:r>
      <w:bookmarkEnd w:id="9006"/>
    </w:p>
    <w:p>
      <w:pPr>
        <w:pStyle w:val="Heading3"/>
        <w:spacing w:before="220" w:after="100" w:line="360" w:lineRule="auto"/>
        <w:jc w:val="left"/>
      </w:pPr>
      <w:bookmarkStart w:id="9007" w:name="_Toc310341316"/>
      <w:r>
        <w:rPr>
          <w:rFonts w:ascii="Times New Roman" w:eastAsia="Times New Roman" w:hAnsi="Times New Roman" w:cs="Times New Roman"/>
          <w:b/>
          <w:bCs/>
          <w:sz w:val="26"/>
          <w:szCs w:val="26"/>
        </w:rPr>
        <w:t xml:space="preserve">1.2.1. Cơ cấu tổ chức</w:t>
      </w:r>
      <w:bookmarkEnd w:id="9007"/>
    </w:p>
    <w:p>
      <w:pPr>
        <w:spacing w:before="0" w:after="120" w:line="360" w:lineRule="auto"/>
        <w:jc w:val="both"/>
      </w:pPr>
      <w:r>
        <w:rPr>
          <w:rFonts w:ascii="Times New Roman" w:eastAsia="Times New Roman" w:hAnsi="Times New Roman" w:cs="Times New Roman"/>
          <w:sz w:val="26"/>
          <w:szCs w:val="26"/>
        </w:rPr>
        <w:t xml:space="preserve">Viettel Post được tổ chức theo mô hình nhiều cấp quản lý, bao gồm Đại hội đồng cổ đông (ĐHĐCĐ), Hội đồng quản trị/Ban kiểm soát (HĐQT/BKS), Ban Tổng Giám đốc và các khối vận hành.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tham mưu: </w:t>
      </w:r>
      <w:r>
        <w:rPr>
          <w:rFonts w:ascii="Times New Roman" w:eastAsia="Times New Roman" w:hAnsi="Times New Roman" w:cs="Times New Roman"/>
          <w:sz w:val="26"/>
          <w:szCs w:val="26"/>
        </w:rPr>
        <w:t xml:space="preserve">gồm 8 phòng/ban tham mưu cho Ban Tổng Giám đốc, đóng vai trò tư vấn.</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kinh doanh: </w:t>
      </w:r>
      <w:r>
        <w:rPr>
          <w:rFonts w:ascii="Times New Roman" w:eastAsia="Times New Roman" w:hAnsi="Times New Roman" w:cs="Times New Roman"/>
          <w:sz w:val="26"/>
          <w:szCs w:val="26"/>
        </w:rPr>
        <w:t xml:space="preserve">gồm 3 đơn vị kinh doanh chiến lược (SBU) vận hành theo lĩnh vực – chuyển phát, logistics và thương mại số.</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triển khai: </w:t>
      </w:r>
      <w:r>
        <w:rPr>
          <w:rFonts w:ascii="Times New Roman" w:eastAsia="Times New Roman" w:hAnsi="Times New Roman" w:cs="Times New Roman"/>
          <w:sz w:val="26"/>
          <w:szCs w:val="26"/>
        </w:rPr>
        <w:t xml:space="preserve">gồm 63 chi nhánh và 5 công ty thành viên, trực tiếp phục vụ khách hàng trên toàn quốc.</w:t>
      </w:r>
    </w:p>
    <w:p>
      <w:pPr>
        <w:spacing w:before="120" w:after="0" w:line="276" w:lineRule="auto"/>
        <w:jc w:val="center"/>
      </w:pPr>
      <w:r>
        <w:rPr>
          <w:rFonts w:ascii="Times New Roman" w:eastAsia="Times New Roman" w:hAnsi="Times New Roman" w:cs="Times New Roman"/>
          <w:noProof/>
        </w:rPr>
        <w:drawing>
          <wp:inline distT="0" distB="0" distL="0" distR="0" wp14:anchorId="35830BF5" wp14:editId="133E6E15">
            <wp:extent cx="5486400" cy="3927763"/>
            <wp:effectExtent l="0" t="0" r="0" b="0"/>
            <wp:docPr id="102" name="SoDoCoCauToChuc"/>
            <wp:cNvGraphicFramePr/>
            <a:graphic xmlns:a="http://schemas.openxmlformats.org/drawingml/2006/main">
              <a:graphicData uri="http://schemas.openxmlformats.org/drawingml/2006/picture">
                <pic:pic xmlns:pic="http://schemas.openxmlformats.org/drawingml/2006/picture">
                  <pic:nvPicPr>
                    <pic:cNvPr id="102" name="SoDoCoCauToChuc"/>
                    <pic:cNvPicPr preferRelativeResize="0"/>
                  </pic:nvPicPr>
                  <pic:blipFill>
                    <a:blip r:embed="rId16"/>
                    <a:srcRect/>
                    <a:stretch>
                      <a:fillRect/>
                    </a:stretch>
                  </pic:blipFill>
                  <pic:spPr>
                    <a:xfrm>
                      <a:off x="0" y="0"/>
                      <a:ext cx="5486400" cy="3927763"/>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1.2 Sơ đồ cơ cấu tổ chức</w:t>
      </w:r>
    </w:p>
    <w:p>
      <w:pPr>
        <w:pStyle w:val="Heading3"/>
        <w:spacing w:before="220" w:after="100" w:line="360" w:lineRule="auto"/>
        <w:jc w:val="left"/>
      </w:pPr>
      <w:bookmarkStart w:id="9008" w:name="_Toc475255341"/>
      <w:r>
        <w:rPr>
          <w:rFonts w:ascii="Times New Roman" w:eastAsia="Times New Roman" w:hAnsi="Times New Roman" w:cs="Times New Roman"/>
          <w:b/>
          <w:bCs/>
          <w:sz w:val="26"/>
          <w:szCs w:val="26"/>
        </w:rPr>
        <w:t xml:space="preserve">1.2.2. Hoạt động kinh doanh</w:t>
      </w:r>
      <w:bookmarkEnd w:id="9008"/>
    </w:p>
    <w:p>
      <w:pPr>
        <w:spacing w:before="0" w:after="120" w:line="360" w:lineRule="auto"/>
        <w:jc w:val="both"/>
      </w:pPr>
      <w:r>
        <w:rPr>
          <w:rFonts w:ascii="Times New Roman" w:eastAsia="Times New Roman" w:hAnsi="Times New Roman" w:cs="Times New Roman"/>
          <w:sz w:val="26"/>
          <w:szCs w:val="26"/>
        </w:rPr>
        <w:t xml:space="preserve">Viettel Post hoạt động đa dạng trong lĩnh vực chuyển phát và logistics với hệ sinh thái dịch vụ tương đối hoàn chỉnh,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Chuyển phát nhanh: </w:t>
      </w:r>
      <w:r>
        <w:rPr>
          <w:rFonts w:ascii="Times New Roman" w:eastAsia="Times New Roman" w:hAnsi="Times New Roman" w:cs="Times New Roman"/>
          <w:sz w:val="26"/>
          <w:szCs w:val="26"/>
        </w:rPr>
        <w:t xml:space="preserve">dịch vụ vận chuyển tốc độ cao trong nước và quốc tế.</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Logistics &amp; vận tải: </w:t>
      </w:r>
      <w:r>
        <w:rPr>
          <w:rFonts w:ascii="Times New Roman" w:eastAsia="Times New Roman" w:hAnsi="Times New Roman" w:cs="Times New Roman"/>
          <w:sz w:val="26"/>
          <w:szCs w:val="26"/>
        </w:rPr>
        <w:t xml:space="preserve">vận tải nguyên chuyến, vận tải theo kiện, vận tải hàng gom và kho Fulfillment.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Forwarding &amp; Hải quan: </w:t>
      </w:r>
      <w:r>
        <w:rPr>
          <w:rFonts w:ascii="Times New Roman" w:eastAsia="Times New Roman" w:hAnsi="Times New Roman" w:cs="Times New Roman"/>
          <w:sz w:val="26"/>
          <w:szCs w:val="26"/>
        </w:rPr>
        <w:t xml:space="preserve">hỗ trợ giao nhận vận tải và thủ tục thông quan cho hàng hóa xuất nhập khẩu.</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Hỗ trợ thương mại điện tử: </w:t>
      </w:r>
      <w:r>
        <w:rPr>
          <w:rFonts w:ascii="Times New Roman" w:eastAsia="Times New Roman" w:hAnsi="Times New Roman" w:cs="Times New Roman"/>
          <w:sz w:val="26"/>
          <w:szCs w:val="26"/>
        </w:rPr>
        <w:t xml:space="preserve">cung cấp giải pháp fulfillment, đóng gói và xử lý đơn cho các nhà bán hàng online.</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hộ COD (Cash On Delivery): </w:t>
      </w:r>
      <w:r>
        <w:rPr>
          <w:rFonts w:ascii="Times New Roman" w:eastAsia="Times New Roman" w:hAnsi="Times New Roman" w:cs="Times New Roman"/>
          <w:sz w:val="26"/>
          <w:szCs w:val="26"/>
        </w:rPr>
        <w:t xml:space="preserve">thu tiền hộ người gửi khi giao hàng thành công, đối soát và chuyển trả định kỳ.</w:t>
      </w:r>
    </w:p>
    <w:p>
      <w:pPr>
        <w:pStyle w:val="Heading1"/>
        <w:spacing w:before="480" w:after="240" w:line="360" w:lineRule="auto"/>
        <w:jc w:val="center"/>
      </w:pPr>
      <w:bookmarkStart w:id="9009" w:name="_Toc928327648"/>
      <w:r>
        <w:rPr>
          <w:rFonts w:ascii="Times New Roman" w:eastAsia="Times New Roman" w:hAnsi="Times New Roman" w:cs="Times New Roman"/>
          <w:b/>
          <w:bCs/>
          <w:sz w:val="32"/>
          <w:szCs w:val="32"/>
        </w:rPr>
        <w:t xml:space="preserve">CHƯƠNG 2. HỆ THỐNG QUY TRÌNH NGHIỆP VỤ VIETTELPOST</w:t>
      </w:r>
      <w:bookmarkEnd w:id="9009"/>
    </w:p>
    <w:p>
      <w:pPr>
        <w:pStyle w:val="Heading2"/>
        <w:spacing w:before="280" w:after="140" w:line="360" w:lineRule="auto"/>
        <w:jc w:val="left"/>
      </w:pPr>
      <w:bookmarkStart w:id="9010" w:name="_Toc350305641"/>
      <w:r>
        <w:rPr>
          <w:rFonts w:ascii="Times New Roman" w:eastAsia="Times New Roman" w:hAnsi="Times New Roman" w:cs="Times New Roman"/>
          <w:b/>
          <w:bCs/>
          <w:sz w:val="27"/>
          <w:szCs w:val="27"/>
        </w:rPr>
        <w:t xml:space="preserve">2.1. Kiến trúc quy trình nghiệp vụ của Viettel Post</w:t>
      </w:r>
      <w:bookmarkEnd w:id="9010"/>
    </w:p>
    <w:p>
      <w:pPr>
        <w:spacing w:before="0" w:after="120" w:line="360" w:lineRule="auto"/>
        <w:jc w:val="both"/>
      </w:pPr>
      <w:r>
        <w:rPr>
          <w:rFonts w:ascii="Times New Roman" w:eastAsia="Times New Roman" w:hAnsi="Times New Roman" w:cs="Times New Roman"/>
          <w:sz w:val="26"/>
          <w:szCs w:val="26"/>
        </w:rPr>
        <w:t xml:space="preserve">Để đảm bảo hoạt động hiệu quả trên quy mô mạng lưới phủ khắp cả nước, Viettel Post xây dựng kiến trúc quy trình nghiệp vụ theo ba tầng: Quản lý, Cốt lõi và Hỗ trợ. Trên cơ sở khảo sát hoạt động của doanh nghiệp, nhóm đã xác định 3 quy trình quản lý, 8 quy trình cốt lõi và 3 quy trình hỗ trợ để thực hiện phân tích.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quản lý: </w:t>
      </w:r>
      <w:r>
        <w:rPr>
          <w:rFonts w:ascii="Times New Roman" w:eastAsia="Times New Roman" w:hAnsi="Times New Roman" w:cs="Times New Roman"/>
          <w:sz w:val="26"/>
          <w:szCs w:val="26"/>
        </w:rPr>
        <w:t xml:space="preserve">định hướng và kiểm soát.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cốt lõi: </w:t>
      </w:r>
      <w:r>
        <w:rPr>
          <w:rFonts w:ascii="Times New Roman" w:eastAsia="Times New Roman" w:hAnsi="Times New Roman" w:cs="Times New Roman"/>
          <w:sz w:val="26"/>
          <w:szCs w:val="26"/>
        </w:rPr>
        <w:t xml:space="preserve">tạo giá trị trực tiếp.</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hỗ trợ: </w:t>
      </w:r>
      <w:r>
        <w:rPr>
          <w:rFonts w:ascii="Times New Roman" w:eastAsia="Times New Roman" w:hAnsi="Times New Roman" w:cs="Times New Roman"/>
          <w:sz w:val="26"/>
          <w:szCs w:val="26"/>
        </w:rPr>
        <w:t xml:space="preserve">nền tảng vận hành.</w:t>
      </w:r>
    </w:p>
    <w:p>
      <w:pPr>
        <w:spacing w:before="120" w:after="0" w:line="276" w:lineRule="auto"/>
        <w:jc w:val="center"/>
      </w:pPr>
      <w:r>
        <w:rPr>
          <w:rFonts w:ascii="Times New Roman" w:eastAsia="Times New Roman" w:hAnsi="Times New Roman" w:cs="Times New Roman"/>
          <w:noProof/>
        </w:rPr>
        <w:drawing>
          <wp:inline distT="0" distB="0" distL="0" distR="0" wp14:anchorId="52B41855" wp14:editId="2E032F84">
            <wp:extent cx="5669280" cy="3188970"/>
            <wp:effectExtent l="0" t="0" r="0" b="0"/>
            <wp:docPr id="103" name="SoDoKienTrucQuyTrinh"/>
            <wp:cNvGraphicFramePr/>
            <a:graphic xmlns:a="http://schemas.openxmlformats.org/drawingml/2006/main">
              <a:graphicData uri="http://schemas.openxmlformats.org/drawingml/2006/picture">
                <pic:pic xmlns:pic="http://schemas.openxmlformats.org/drawingml/2006/picture">
                  <pic:nvPicPr>
                    <pic:cNvPr id="103" name="SoDoKienTrucQuyTrinh"/>
                    <pic:cNvPicPr preferRelativeResize="0"/>
                  </pic:nvPicPr>
                  <pic:blipFill>
                    <a:blip r:embed="rId17"/>
                    <a:srcRect/>
                    <a:stretch>
                      <a:fillRect/>
                    </a:stretch>
                  </pic:blipFill>
                  <pic:spPr>
                    <a:xfrm>
                      <a:off x="0" y="0"/>
                      <a:ext cx="5669280" cy="318897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2.1 Sơ đồ kiến trúc quy trình nghiệp vụ Viettel Post</w:t>
      </w:r>
    </w:p>
    <w:p>
      <w:pPr>
        <w:spacing w:before="0" w:after="120" w:line="360" w:lineRule="auto"/>
        <w:jc w:val="both"/>
      </w:pPr>
      <w:r>
        <w:rPr>
          <w:rFonts w:ascii="Times New Roman" w:eastAsia="Times New Roman" w:hAnsi="Times New Roman" w:cs="Times New Roman"/>
          <w:sz w:val="26"/>
          <w:szCs w:val="26"/>
        </w:rPr>
        <w:t xml:space="preserve">Nhóm quy trình quản lý tập trung định hướng nguồn lực, hoạch định kế hoạch và kiểm soát hiệu suất vận hành của toàn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trị vòng đời đối tác cung ứng phương tiện vận tải: </w:t>
      </w:r>
      <w:r>
        <w:rPr>
          <w:rFonts w:ascii="Times New Roman" w:eastAsia="Times New Roman" w:hAnsi="Times New Roman" w:cs="Times New Roman"/>
          <w:sz w:val="26"/>
          <w:szCs w:val="26"/>
        </w:rPr>
        <w:t xml:space="preserve">Xác định nhu cầu → Mời &amp; nhận hồ sơ → Thẩm định phương tiện → Phê duyệt đối tác → Ký hợp đồng &amp; kích hoạt trên hệ thống TMS.</w:t>
      </w:r>
    </w:p>
    <w:p>
      <w:pPr>
        <w:spacing w:before="120" w:after="0" w:line="276" w:lineRule="auto"/>
        <w:jc w:val="center"/>
      </w:pPr>
      <w:r>
        <w:rPr>
          <w:rFonts w:ascii="Times New Roman" w:eastAsia="Times New Roman" w:hAnsi="Times New Roman" w:cs="Times New Roman"/>
          <w:noProof/>
        </w:rPr>
        <w:drawing>
          <wp:inline distT="0" distB="0" distL="0" distR="0" wp14:anchorId="B3B642DC" wp14:editId="DE508A7A">
            <wp:extent cx="5486400" cy="988827"/>
            <wp:effectExtent l="0" t="0" r="0" b="0"/>
            <wp:docPr id="224" name="Chevron_chev01_doitac_vantai.png"/>
            <wp:cNvGraphicFramePr/>
            <a:graphic xmlns:a="http://schemas.openxmlformats.org/drawingml/2006/main">
              <a:graphicData uri="http://schemas.openxmlformats.org/drawingml/2006/picture">
                <pic:pic xmlns:pic="http://schemas.openxmlformats.org/drawingml/2006/picture">
                  <pic:nvPicPr>
                    <pic:cNvPr id="224" name="Chevron_chev01_doitac_vantai.png"/>
                    <pic:cNvPicPr preferRelativeResize="0"/>
                  </pic:nvPicPr>
                  <pic:blipFill>
                    <a:blip r:embed="rId19"/>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kế hoạch kinh doanh dịch vụ chuyển phát: </w:t>
      </w:r>
      <w:r>
        <w:rPr>
          <w:rFonts w:ascii="Times New Roman" w:eastAsia="Times New Roman" w:hAnsi="Times New Roman" w:cs="Times New Roman"/>
          <w:sz w:val="26"/>
          <w:szCs w:val="26"/>
        </w:rPr>
        <w:t xml:space="preserve">Thu thập dữ liệu → Lập kế hoạch → Thẩm định nguồn lực/KPI → Phê duyệt → Theo dõi &amp; điều chỉnh.</w:t>
      </w:r>
    </w:p>
    <w:p>
      <w:pPr>
        <w:spacing w:before="120" w:after="0" w:line="276" w:lineRule="auto"/>
        <w:jc w:val="center"/>
      </w:pPr>
      <w:r>
        <w:rPr>
          <w:rFonts w:ascii="Times New Roman" w:eastAsia="Times New Roman" w:hAnsi="Times New Roman" w:cs="Times New Roman"/>
          <w:noProof/>
        </w:rPr>
        <w:drawing>
          <wp:inline distT="0" distB="0" distL="0" distR="0" wp14:anchorId="831CE8F2" wp14:editId="6F1F170C">
            <wp:extent cx="5486400" cy="988827"/>
            <wp:effectExtent l="0" t="0" r="0" b="0"/>
            <wp:docPr id="225" name="Chevron_chev02_ke_hoach_kd.png"/>
            <wp:cNvGraphicFramePr/>
            <a:graphic xmlns:a="http://schemas.openxmlformats.org/drawingml/2006/main">
              <a:graphicData uri="http://schemas.openxmlformats.org/drawingml/2006/picture">
                <pic:pic xmlns:pic="http://schemas.openxmlformats.org/drawingml/2006/picture">
                  <pic:nvPicPr>
                    <pic:cNvPr id="225" name="Chevron_chev02_ke_hoach_kd.png"/>
                    <pic:cNvPicPr preferRelativeResize="0"/>
                  </pic:nvPicPr>
                  <pic:blipFill>
                    <a:blip r:embed="rId2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hiệu suất hoạt động vận hành: </w:t>
      </w:r>
      <w:r>
        <w:rPr>
          <w:rFonts w:ascii="Times New Roman" w:eastAsia="Times New Roman" w:hAnsi="Times New Roman" w:cs="Times New Roman"/>
          <w:sz w:val="26"/>
          <w:szCs w:val="26"/>
        </w:rPr>
        <w:t xml:space="preserve">Thu thập KPI → Theo dõi kết quả → Phân tích chênh lệch → Đề xuất cải tiến → Tổng hợp &amp; đối chiếu.</w:t>
      </w:r>
    </w:p>
    <w:p>
      <w:pPr>
        <w:spacing w:before="120" w:after="0" w:line="276" w:lineRule="auto"/>
        <w:jc w:val="center"/>
      </w:pPr>
      <w:r>
        <w:rPr>
          <w:rFonts w:ascii="Times New Roman" w:eastAsia="Times New Roman" w:hAnsi="Times New Roman" w:cs="Times New Roman"/>
          <w:noProof/>
        </w:rPr>
        <w:drawing>
          <wp:inline distT="0" distB="0" distL="0" distR="0" wp14:anchorId="BC27F610" wp14:editId="99025A5B">
            <wp:extent cx="5486400" cy="988827"/>
            <wp:effectExtent l="0" t="0" r="0" b="0"/>
            <wp:docPr id="226" name="Chevron_chev03_hieu_suat_vh.png"/>
            <wp:cNvGraphicFramePr/>
            <a:graphic xmlns:a="http://schemas.openxmlformats.org/drawingml/2006/main">
              <a:graphicData uri="http://schemas.openxmlformats.org/drawingml/2006/picture">
                <pic:pic xmlns:pic="http://schemas.openxmlformats.org/drawingml/2006/picture">
                  <pic:nvPicPr>
                    <pic:cNvPr id="226" name="Chevron_chev03_hieu_suat_vh.png"/>
                    <pic:cNvPicPr preferRelativeResize="0"/>
                  </pic:nvPicPr>
                  <pic:blipFill>
                    <a:blip r:embed="rId21"/>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cốt lõi là nhóm quan trọng nhất vì trực tiếp tạo ra giá trị, gắn liền với hành trình của đơn hàng và được chia thành ba giai đoạn: đầu vào, vận chuyển và sau giao.</w:t>
      </w:r>
    </w:p>
    <w:p>
      <w:pPr>
        <w:spacing w:before="0" w:after="120" w:line="360" w:lineRule="auto"/>
        <w:jc w:val="both"/>
      </w:pPr>
      <w:r>
        <w:rPr>
          <w:rFonts w:ascii="Times New Roman" w:eastAsia="Times New Roman" w:hAnsi="Times New Roman" w:cs="Times New Roman"/>
          <w:b/>
          <w:bCs/>
          <w:sz w:val="26"/>
          <w:szCs w:val="26"/>
        </w:rPr>
        <w:t xml:space="preserve">Quy trình cốt lõi đầu vào </w:t>
      </w:r>
      <w:r>
        <w:rPr>
          <w:rFonts w:ascii="Times New Roman" w:eastAsia="Times New Roman" w:hAnsi="Times New Roman" w:cs="Times New Roman"/>
          <w:sz w:val="26"/>
          <w:szCs w:val="26"/>
        </w:rPr>
        <w:t xml:space="preserve">– hình thành đơn hàng, tiếp nhận bưu gửi và tổ chức khai thác tại trung tâm: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đơn hàng: </w:t>
      </w:r>
      <w:r>
        <w:rPr>
          <w:rFonts w:ascii="Times New Roman" w:eastAsia="Times New Roman" w:hAnsi="Times New Roman" w:cs="Times New Roman"/>
          <w:sz w:val="26"/>
          <w:szCs w:val="26"/>
        </w:rPr>
        <w:t xml:space="preserve">Tạo yêu cầu → Khai thác &amp; chọn dịch vụ → Ghi nhận đơn điện tử → Kiểm tra thông tin → Kiểm tra &amp; chuẩn hóa qua OMS/API.</w:t>
      </w:r>
    </w:p>
    <w:p>
      <w:pPr>
        <w:spacing w:before="120" w:after="0" w:line="276" w:lineRule="auto"/>
        <w:jc w:val="center"/>
      </w:pPr>
      <w:r>
        <w:rPr>
          <w:rFonts w:ascii="Times New Roman" w:eastAsia="Times New Roman" w:hAnsi="Times New Roman" w:cs="Times New Roman"/>
          <w:noProof/>
        </w:rPr>
        <w:drawing>
          <wp:inline distT="0" distB="0" distL="0" distR="0" wp14:anchorId="BCB51EBB" wp14:editId="0598ADD7">
            <wp:extent cx="5486400" cy="988827"/>
            <wp:effectExtent l="0" t="0" r="0" b="0"/>
            <wp:docPr id="227" name="Chevron_chev04_tiep_nhan_don.png"/>
            <wp:cNvGraphicFramePr/>
            <a:graphic xmlns:a="http://schemas.openxmlformats.org/drawingml/2006/main">
              <a:graphicData uri="http://schemas.openxmlformats.org/drawingml/2006/picture">
                <pic:pic xmlns:pic="http://schemas.openxmlformats.org/drawingml/2006/picture">
                  <pic:nvPicPr>
                    <pic:cNvPr id="227" name="Chevron_chev04_tiep_nhan_don.png"/>
                    <pic:cNvPicPr preferRelativeResize="0"/>
                  </pic:nvPicPr>
                  <pic:blipFill>
                    <a:blip r:embed="rId22"/>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gom &amp; tập kết: </w:t>
      </w:r>
      <w:r>
        <w:rPr>
          <w:rFonts w:ascii="Times New Roman" w:eastAsia="Times New Roman" w:hAnsi="Times New Roman" w:cs="Times New Roman"/>
          <w:sz w:val="26"/>
          <w:szCs w:val="26"/>
        </w:rPr>
        <w:t xml:space="preserve">Tiếp nhận yêu cầu → Điều phối shipper → Thu gom &amp; kiểm tra hàng → Tạo mã vận đơn &amp; xác nhận → Vận chuyển về bưu cục.</w:t>
      </w:r>
    </w:p>
    <w:p>
      <w:pPr>
        <w:spacing w:before="120" w:after="0" w:line="276" w:lineRule="auto"/>
        <w:jc w:val="center"/>
      </w:pPr>
      <w:r>
        <w:rPr>
          <w:rFonts w:ascii="Times New Roman" w:eastAsia="Times New Roman" w:hAnsi="Times New Roman" w:cs="Times New Roman"/>
          <w:noProof/>
        </w:rPr>
        <w:drawing>
          <wp:inline distT="0" distB="0" distL="0" distR="0" wp14:anchorId="1E022A09" wp14:editId="E3540EA3">
            <wp:extent cx="5486400" cy="988827"/>
            <wp:effectExtent l="0" t="0" r="0" b="0"/>
            <wp:docPr id="228" name="Chevron_chev05_thu_gom_tap_ket.png"/>
            <wp:cNvGraphicFramePr/>
            <a:graphic xmlns:a="http://schemas.openxmlformats.org/drawingml/2006/main">
              <a:graphicData uri="http://schemas.openxmlformats.org/drawingml/2006/picture">
                <pic:pic xmlns:pic="http://schemas.openxmlformats.org/drawingml/2006/picture">
                  <pic:nvPicPr>
                    <pic:cNvPr id="228" name="Chevron_chev05_thu_gom_tap_ket.png"/>
                    <pic:cNvPicPr preferRelativeResize="0"/>
                  </pic:nvPicPr>
                  <pic:blipFill>
                    <a:blip r:embed="rId23"/>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Phân loại &amp; chuyển phát trung tâm: </w:t>
      </w:r>
      <w:r>
        <w:rPr>
          <w:rFonts w:ascii="Times New Roman" w:eastAsia="Times New Roman" w:hAnsi="Times New Roman" w:cs="Times New Roman"/>
          <w:sz w:val="26"/>
          <w:szCs w:val="26"/>
        </w:rPr>
        <w:t xml:space="preserve">Tiếp nhận &amp; đổi chiều → Quét, cân, đo DWS → Chia chọn theo tuyến đích → Đóng bao &amp; lập manifest → Bàn giao vận tải liên tỉnh.</w:t>
      </w:r>
    </w:p>
    <w:p>
      <w:pPr>
        <w:spacing w:before="120" w:after="0" w:line="276" w:lineRule="auto"/>
        <w:jc w:val="center"/>
      </w:pPr>
      <w:r>
        <w:rPr>
          <w:rFonts w:ascii="Times New Roman" w:eastAsia="Times New Roman" w:hAnsi="Times New Roman" w:cs="Times New Roman"/>
          <w:noProof/>
        </w:rPr>
        <w:drawing>
          <wp:inline distT="0" distB="0" distL="0" distR="0" wp14:anchorId="4FE4B5FC" wp14:editId="2A31CF01">
            <wp:extent cx="5486400" cy="988827"/>
            <wp:effectExtent l="0" t="0" r="0" b="0"/>
            <wp:docPr id="229" name="Chevron_chev06_phanloai_cp_trungtam.png"/>
            <wp:cNvGraphicFramePr/>
            <a:graphic xmlns:a="http://schemas.openxmlformats.org/drawingml/2006/main">
              <a:graphicData uri="http://schemas.openxmlformats.org/drawingml/2006/picture">
                <pic:pic xmlns:pic="http://schemas.openxmlformats.org/drawingml/2006/picture">
                  <pic:nvPicPr>
                    <pic:cNvPr id="229" name="Chevron_chev06_phanloai_cp_trungtam.png"/>
                    <pic:cNvPicPr preferRelativeResize="0"/>
                  </pic:nvPicPr>
                  <pic:blipFill>
                    <a:blip r:embed="rId24"/>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vận chuyển </w:t>
      </w:r>
      <w:r>
        <w:rPr>
          <w:rFonts w:ascii="Times New Roman" w:eastAsia="Times New Roman" w:hAnsi="Times New Roman" w:cs="Times New Roman"/>
          <w:sz w:val="26"/>
          <w:szCs w:val="26"/>
        </w:rPr>
        <w:t xml:space="preserve">– tiếp nhận tại điểm đích, luân chuyển giữa các tỉnh và hoàn tất giao hàng tận nơi:</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Vận chuyển liên tỉnh: </w:t>
      </w:r>
      <w:r>
        <w:rPr>
          <w:rFonts w:ascii="Times New Roman" w:eastAsia="Times New Roman" w:hAnsi="Times New Roman" w:cs="Times New Roman"/>
          <w:sz w:val="26"/>
          <w:szCs w:val="26"/>
        </w:rPr>
        <w:t xml:space="preserve">Tiếp nhận tại trung tâm đến → Kiểm tra, phân loại → Lập bảng kê &amp; bàn giao xe → Vận chuyển liên tỉnh → Tiếp nhận &amp; tập kết hàng.</w:t>
      </w:r>
    </w:p>
    <w:p>
      <w:pPr>
        <w:spacing w:before="120" w:after="0" w:line="276" w:lineRule="auto"/>
        <w:jc w:val="center"/>
      </w:pPr>
      <w:r>
        <w:rPr>
          <w:rFonts w:ascii="Times New Roman" w:eastAsia="Times New Roman" w:hAnsi="Times New Roman" w:cs="Times New Roman"/>
          <w:noProof/>
        </w:rPr>
        <w:drawing>
          <wp:inline distT="0" distB="0" distL="0" distR="0" wp14:anchorId="CC6A692C" wp14:editId="70A3BC8F">
            <wp:extent cx="5486400" cy="988827"/>
            <wp:effectExtent l="0" t="0" r="0" b="0"/>
            <wp:docPr id="230" name="Chevron_chev07_vc_lientinh.png"/>
            <wp:cNvGraphicFramePr/>
            <a:graphic xmlns:a="http://schemas.openxmlformats.org/drawingml/2006/main">
              <a:graphicData uri="http://schemas.openxmlformats.org/drawingml/2006/picture">
                <pic:pic xmlns:pic="http://schemas.openxmlformats.org/drawingml/2006/picture">
                  <pic:nvPicPr>
                    <pic:cNvPr id="230" name="Chevron_chev07_vc_lientinh.png"/>
                    <pic:cNvPicPr preferRelativeResize="0"/>
                  </pic:nvPicPr>
                  <pic:blipFill>
                    <a:blip r:embed="rId25"/>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tại bưu cục đích &amp; phân bổ tuyến giao: </w:t>
      </w:r>
      <w:r>
        <w:rPr>
          <w:rFonts w:ascii="Times New Roman" w:eastAsia="Times New Roman" w:hAnsi="Times New Roman" w:cs="Times New Roman"/>
          <w:sz w:val="26"/>
          <w:szCs w:val="26"/>
        </w:rPr>
        <w:t xml:space="preserve">Tiếp nhận &amp; kiểm tra seal → Mở bao &amp; quét nhập → Kiểm tra điều kiện phân tuyến → Cân bằng tải &amp; khóa tuyến → Bàn giao cho bưu tá.</w:t>
      </w:r>
    </w:p>
    <w:p>
      <w:pPr>
        <w:spacing w:before="120" w:after="0" w:line="276" w:lineRule="auto"/>
        <w:jc w:val="center"/>
      </w:pPr>
      <w:r>
        <w:rPr>
          <w:rFonts w:ascii="Times New Roman" w:eastAsia="Times New Roman" w:hAnsi="Times New Roman" w:cs="Times New Roman"/>
          <w:noProof/>
        </w:rPr>
        <w:drawing>
          <wp:inline distT="0" distB="0" distL="0" distR="0" wp14:anchorId="19502372" wp14:editId="50EDB238">
            <wp:extent cx="5486400" cy="988827"/>
            <wp:effectExtent l="0" t="0" r="0" b="0"/>
            <wp:docPr id="231" name="Chevron_chev08_tiepnhan_buucucdich.png"/>
            <wp:cNvGraphicFramePr/>
            <a:graphic xmlns:a="http://schemas.openxmlformats.org/drawingml/2006/main">
              <a:graphicData uri="http://schemas.openxmlformats.org/drawingml/2006/picture">
                <pic:pic xmlns:pic="http://schemas.openxmlformats.org/drawingml/2006/picture">
                  <pic:nvPicPr>
                    <pic:cNvPr id="231" name="Chevron_chev08_tiepnhan_buucucdich.png"/>
                    <pic:cNvPicPr preferRelativeResize="0"/>
                  </pic:nvPicPr>
                  <pic:blipFill>
                    <a:blip r:embed="rId26"/>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Giao hàng tận nơi &amp; xác nhận: </w:t>
      </w:r>
      <w:r>
        <w:rPr>
          <w:rFonts w:ascii="Times New Roman" w:eastAsia="Times New Roman" w:hAnsi="Times New Roman" w:cs="Times New Roman"/>
          <w:sz w:val="26"/>
          <w:szCs w:val="26"/>
        </w:rPr>
        <w:t xml:space="preserve">Phân công tuyến &amp; bàn giao → Liên hệ &amp; giao hàng → Kiểm tra thông tin giao → Thu COD nếu có → Nhập OTP/POD &amp; cập nhật.</w:t>
      </w:r>
    </w:p>
    <w:p>
      <w:pPr>
        <w:spacing w:before="120" w:after="0" w:line="276" w:lineRule="auto"/>
        <w:jc w:val="center"/>
      </w:pPr>
      <w:r>
        <w:rPr>
          <w:rFonts w:ascii="Times New Roman" w:eastAsia="Times New Roman" w:hAnsi="Times New Roman" w:cs="Times New Roman"/>
          <w:noProof/>
        </w:rPr>
        <w:drawing>
          <wp:inline distT="0" distB="0" distL="0" distR="0" wp14:anchorId="B58E0EB2" wp14:editId="FB4D0A63">
            <wp:extent cx="5486400" cy="988827"/>
            <wp:effectExtent l="0" t="0" r="0" b="0"/>
            <wp:docPr id="232" name="Chevron_chev09_giaohang_xacnhan.png"/>
            <wp:cNvGraphicFramePr/>
            <a:graphic xmlns:a="http://schemas.openxmlformats.org/drawingml/2006/main">
              <a:graphicData uri="http://schemas.openxmlformats.org/drawingml/2006/picture">
                <pic:pic xmlns:pic="http://schemas.openxmlformats.org/drawingml/2006/picture">
                  <pic:nvPicPr>
                    <pic:cNvPr id="232" name="Chevron_chev09_giaohang_xacnhan.png"/>
                    <pic:cNvPicPr preferRelativeResize="0"/>
                  </pic:nvPicPr>
                  <pic:blipFill>
                    <a:blip r:embed="rId27"/>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sau giao </w:t>
      </w:r>
      <w:r>
        <w:rPr>
          <w:rFonts w:ascii="Times New Roman" w:eastAsia="Times New Roman" w:hAnsi="Times New Roman" w:cs="Times New Roman"/>
          <w:sz w:val="26"/>
          <w:szCs w:val="26"/>
        </w:rPr>
        <w:t xml:space="preserve">– hoàn tất nghĩa vụ tài chính và xử lý các trường hợp không thể kết thúc theo luồng giao thông thường: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Xử lý thu hộ COD &amp; chuyển tiền: </w:t>
      </w:r>
      <w:r>
        <w:rPr>
          <w:rFonts w:ascii="Times New Roman" w:eastAsia="Times New Roman" w:hAnsi="Times New Roman" w:cs="Times New Roman"/>
          <w:sz w:val="26"/>
          <w:szCs w:val="26"/>
        </w:rPr>
        <w:t xml:space="preserve">Tạo &amp; tiếp nhận đơn COD → Lấy &amp; luân chuyển hàng → Giao hàng &amp; thu COD → Nộp chứng từ &amp; đối soát → Chuyển tiền/xử lý ngoại lệ.</w:t>
      </w:r>
    </w:p>
    <w:p>
      <w:pPr>
        <w:spacing w:before="120" w:after="0" w:line="276" w:lineRule="auto"/>
        <w:jc w:val="center"/>
      </w:pPr>
      <w:r>
        <w:rPr>
          <w:rFonts w:ascii="Times New Roman" w:eastAsia="Times New Roman" w:hAnsi="Times New Roman" w:cs="Times New Roman"/>
          <w:noProof/>
        </w:rPr>
        <w:drawing>
          <wp:inline distT="0" distB="0" distL="0" distR="0" wp14:anchorId="C17F79D0" wp14:editId="0710FDF2">
            <wp:extent cx="5486400" cy="988827"/>
            <wp:effectExtent l="0" t="0" r="0" b="0"/>
            <wp:docPr id="233" name="Chevron_chev10_thuho_cod.png"/>
            <wp:cNvGraphicFramePr/>
            <a:graphic xmlns:a="http://schemas.openxmlformats.org/drawingml/2006/main">
              <a:graphicData uri="http://schemas.openxmlformats.org/drawingml/2006/picture">
                <pic:pic xmlns:pic="http://schemas.openxmlformats.org/drawingml/2006/picture">
                  <pic:nvPicPr>
                    <pic:cNvPr id="233" name="Chevron_chev10_thuho_cod.png"/>
                    <pic:cNvPicPr preferRelativeResize="0"/>
                  </pic:nvPicPr>
                  <pic:blipFill>
                    <a:blip r:embed="rId28"/>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hoàn trả: </w:t>
      </w:r>
      <w:r>
        <w:rPr>
          <w:rFonts w:ascii="Times New Roman" w:eastAsia="Times New Roman" w:hAnsi="Times New Roman" w:cs="Times New Roman"/>
          <w:sz w:val="26"/>
          <w:szCs w:val="26"/>
        </w:rPr>
        <w:t xml:space="preserve">Tiếp nhận &amp; kiểm tra hồ sơ → Điều phối thu hồi → Kiểm tra hàng tại kho → Nhập kho hoặc xuất trả → Bồi thường nếu phát sinh.</w:t>
      </w:r>
    </w:p>
    <w:p>
      <w:pPr>
        <w:spacing w:before="120" w:after="0" w:line="276" w:lineRule="auto"/>
        <w:jc w:val="center"/>
      </w:pPr>
      <w:r>
        <w:rPr>
          <w:rFonts w:ascii="Times New Roman" w:eastAsia="Times New Roman" w:hAnsi="Times New Roman" w:cs="Times New Roman"/>
          <w:noProof/>
        </w:rPr>
        <w:drawing>
          <wp:inline distT="0" distB="0" distL="0" distR="0" wp14:anchorId="AD7B1647" wp14:editId="761293FF">
            <wp:extent cx="5486400" cy="988827"/>
            <wp:effectExtent l="0" t="0" r="0" b="0"/>
            <wp:docPr id="234" name="Chevron_chev11_quanly_hoantra.png"/>
            <wp:cNvGraphicFramePr/>
            <a:graphic xmlns:a="http://schemas.openxmlformats.org/drawingml/2006/main">
              <a:graphicData uri="http://schemas.openxmlformats.org/drawingml/2006/picture">
                <pic:pic xmlns:pic="http://schemas.openxmlformats.org/drawingml/2006/picture">
                  <pic:nvPicPr>
                    <pic:cNvPr id="234" name="Chevron_chev11_quanly_hoantra.png"/>
                    <pic:cNvPicPr preferRelativeResize="0"/>
                  </pic:nvPicPr>
                  <pic:blipFill>
                    <a:blip r:embed="rId29"/>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hỗ trợ giúp bảo đảm nguồn nhân lực, duy trì trải nghiệm khách hàng và hỗ trợ nền tảng công nghệ cho toàn bộ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Quy trình báo cáo và tuyển dụng: </w:t>
      </w:r>
      <w:r>
        <w:rPr>
          <w:rFonts w:ascii="Times New Roman" w:eastAsia="Times New Roman" w:hAnsi="Times New Roman" w:cs="Times New Roman"/>
          <w:sz w:val="26"/>
          <w:szCs w:val="26"/>
        </w:rPr>
        <w:t xml:space="preserve">Đề xuất &amp; phê duyệt nhu cầu → Tuyển dụng, sàng lọc &amp; phỏng vấn → Ký hợp đồng thử việc 2 tháng → Đào tạo hội nhập &amp; đánh giá → Tuyển dụng chính thức.</w:t>
      </w:r>
    </w:p>
    <w:p>
      <w:pPr>
        <w:spacing w:before="120" w:after="0" w:line="276" w:lineRule="auto"/>
        <w:jc w:val="center"/>
      </w:pPr>
      <w:r>
        <w:rPr>
          <w:rFonts w:ascii="Times New Roman" w:eastAsia="Times New Roman" w:hAnsi="Times New Roman" w:cs="Times New Roman"/>
          <w:noProof/>
        </w:rPr>
        <w:drawing>
          <wp:inline distT="0" distB="0" distL="0" distR="0" wp14:anchorId="361A4C4F" wp14:editId="17DB662D">
            <wp:extent cx="5486400" cy="988827"/>
            <wp:effectExtent l="0" t="0" r="0" b="0"/>
            <wp:docPr id="235" name="Chevron_chev12_baocao_tuyendung.png"/>
            <wp:cNvGraphicFramePr/>
            <a:graphic xmlns:a="http://schemas.openxmlformats.org/drawingml/2006/main">
              <a:graphicData uri="http://schemas.openxmlformats.org/drawingml/2006/picture">
                <pic:pic xmlns:pic="http://schemas.openxmlformats.org/drawingml/2006/picture">
                  <pic:nvPicPr>
                    <pic:cNvPr id="235" name="Chevron_chev12_baocao_tuyendung.png"/>
                    <pic:cNvPicPr preferRelativeResize="0"/>
                  </pic:nvPicPr>
                  <pic:blipFill>
                    <a:blip r:embed="rId3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Chăm sóc khách hàng: </w:t>
      </w:r>
      <w:r>
        <w:rPr>
          <w:rFonts w:ascii="Times New Roman" w:eastAsia="Times New Roman" w:hAnsi="Times New Roman" w:cs="Times New Roman"/>
          <w:sz w:val="26"/>
          <w:szCs w:val="26"/>
        </w:rPr>
        <w:t xml:space="preserve">Tiếp nhận yêu cầu → Xác minh nguyên nhân → Tra cứu &amp; kiểm tra chứng từ → Tư vấn hoặc đền bù → Phản hồi &amp; đóng hồ sơ.</w:t>
      </w:r>
    </w:p>
    <w:p>
      <w:pPr>
        <w:spacing w:before="120" w:after="0" w:line="276" w:lineRule="auto"/>
        <w:jc w:val="center"/>
      </w:pPr>
      <w:r>
        <w:rPr>
          <w:rFonts w:ascii="Times New Roman" w:eastAsia="Times New Roman" w:hAnsi="Times New Roman" w:cs="Times New Roman"/>
          <w:noProof/>
        </w:rPr>
        <w:drawing>
          <wp:inline distT="0" distB="0" distL="0" distR="0" wp14:anchorId="042971E8" wp14:editId="ED06056E">
            <wp:extent cx="5486400" cy="988827"/>
            <wp:effectExtent l="0" t="0" r="0" b="0"/>
            <wp:docPr id="236" name="Chevron_chev13_cskh.png"/>
            <wp:cNvGraphicFramePr/>
            <a:graphic xmlns:a="http://schemas.openxmlformats.org/drawingml/2006/main">
              <a:graphicData uri="http://schemas.openxmlformats.org/drawingml/2006/picture">
                <pic:pic xmlns:pic="http://schemas.openxmlformats.org/drawingml/2006/picture">
                  <pic:nvPicPr>
                    <pic:cNvPr id="236" name="Chevron_chev13_cskh.png"/>
                    <pic:cNvPicPr preferRelativeResize="0"/>
                  </pic:nvPicPr>
                  <pic:blipFill>
                    <a:blip r:embed="rId31"/>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và hỗ trợ hệ thống CNTT: </w:t>
      </w:r>
      <w:r>
        <w:rPr>
          <w:rFonts w:ascii="Times New Roman" w:eastAsia="Times New Roman" w:hAnsi="Times New Roman" w:cs="Times New Roman"/>
          <w:sz w:val="26"/>
          <w:szCs w:val="26"/>
        </w:rPr>
        <w:t xml:space="preserve">Tiếp nhận sự cố → Phân loại → Chẩn đoán → Khắc phục → Đóng yêu cầu.</w:t>
      </w:r>
    </w:p>
    <w:p>
      <w:pPr>
        <w:spacing w:before="120" w:after="0" w:line="276" w:lineRule="auto"/>
        <w:jc w:val="center"/>
      </w:pPr>
      <w:r>
        <w:rPr>
          <w:rFonts w:ascii="Times New Roman" w:eastAsia="Times New Roman" w:hAnsi="Times New Roman" w:cs="Times New Roman"/>
          <w:noProof/>
        </w:rPr>
        <w:drawing>
          <wp:inline distT="0" distB="0" distL="0" distR="0" wp14:anchorId="B635E57F" wp14:editId="0E0C6EC1">
            <wp:extent cx="5486400" cy="988827"/>
            <wp:effectExtent l="0" t="0" r="0" b="0"/>
            <wp:docPr id="237" name="Chevron_chev14_ho_tro_cntt.png"/>
            <wp:cNvGraphicFramePr/>
            <a:graphic xmlns:a="http://schemas.openxmlformats.org/drawingml/2006/main">
              <a:graphicData uri="http://schemas.openxmlformats.org/drawingml/2006/picture">
                <pic:pic xmlns:pic="http://schemas.openxmlformats.org/drawingml/2006/picture">
                  <pic:nvPicPr>
                    <pic:cNvPr id="237" name="Chevron_chev14_ho_tro_cntt.png"/>
                    <pic:cNvPicPr preferRelativeResize="0"/>
                  </pic:nvPicPr>
                  <pic:blipFill>
                    <a:blip r:embed="rId32"/>
                    <a:srcRect/>
                    <a:stretch>
                      <a:fillRect/>
                    </a:stretch>
                  </pic:blipFill>
                  <pic:spPr>
                    <a:xfrm>
                      <a:off x="0" y="0"/>
                      <a:ext cx="5486400" cy="988827"/>
                    </a:xfrm>
                    <a:prstGeom prst="rect">
                      <a:avLst/>
                    </a:prstGeom>
                    <a:ln/>
                  </pic:spPr>
                </pic:pic>
              </a:graphicData>
            </a:graphic>
          </wp:inline>
        </w:drawing>
      </w:r>
    </w:p>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1"/>
        <w:spacing w:before="480" w:after="240" w:line="360" w:lineRule="auto"/>
        <w:jc w:val="center"/>
      </w:pPr>
      <w:bookmarkStart w:id="9011" w:name="_Toc395376724"/>
      <w:r>
        <w:rPr>
          <w:rFonts w:ascii="Times New Roman" w:eastAsia="Times New Roman" w:hAnsi="Times New Roman" w:cs="Times New Roman"/>
          <w:b/>
          <w:bCs/>
          <w:sz w:val="32"/>
          <w:szCs w:val="32"/>
        </w:rPr>
        <w:t xml:space="preserve">CHƯƠNG 3. PHƯƠNG PHÁP THỰC HIỆN</w:t>
      </w:r>
      <w:bookmarkEnd w:id="9011"/>
    </w:p>
    <w:p>
      <w:pPr>
        <w:spacing w:before="0" w:after="120" w:line="360" w:lineRule="auto"/>
        <w:jc w:val="both"/>
      </w:pPr>
      <w:r>
        <w:rPr>
          <w:rFonts w:ascii="Times New Roman" w:eastAsia="Times New Roman" w:hAnsi="Times New Roman" w:cs="Times New Roman"/>
          <w:sz w:val="26"/>
          <w:szCs w:val="26"/>
        </w:rPr>
        <w:t xml:space="preserve">Để khám phá và mô tả chính xác các quy trình nghiệp vụ của Viettel Post trước khi tiến hành mô hình hóa BPMN, nhóm áp dụng phối hợp hai nhóm phương pháp: phương pháp dựa trên bằng chứng (phân tích tài liệu, sơ đồ tổ chức, kế hoạch làm việc, thuật ngữ và biểu mẫu nội bộ) và phương pháp phỏng vấn (khảo sát định tính và định lượng đối với các bộ phận liên quan). Việc kết hợp hai nhóm phương pháp giúp đối chiếu thông tin từ tài liệu với thực tế vận hành, qua đó xác định đầy đủ các bước thực hiện, tác nhân, đầu vào, đầu ra và thông tin trao đổi trong từng quy trình.</w:t>
      </w:r>
    </w:p>
    <w:p>
      <w:pPr>
        <w:pStyle w:val="Heading2"/>
        <w:spacing w:before="280" w:after="140" w:line="360" w:lineRule="auto"/>
        <w:jc w:val="left"/>
      </w:pPr>
      <w:bookmarkStart w:id="9012" w:name="_Toc238849696"/>
      <w:r>
        <w:rPr>
          <w:rFonts w:ascii="Times New Roman" w:eastAsia="Times New Roman" w:hAnsi="Times New Roman" w:cs="Times New Roman"/>
          <w:b/>
          <w:bCs/>
          <w:sz w:val="27"/>
          <w:szCs w:val="27"/>
        </w:rPr>
        <w:t xml:space="preserve">3.1. Dựa trên bằng chứng</w:t>
      </w:r>
      <w:bookmarkEnd w:id="9012"/>
    </w:p>
    <w:p>
      <w:pPr>
        <w:spacing w:before="0" w:after="120" w:line="360" w:lineRule="auto"/>
        <w:jc w:val="both"/>
      </w:pPr>
      <w:r>
        <w:rPr>
          <w:rFonts w:ascii="Times New Roman" w:eastAsia="Times New Roman" w:hAnsi="Times New Roman" w:cs="Times New Roman"/>
          <w:sz w:val="26"/>
          <w:szCs w:val="26"/>
        </w:rPr>
        <w:t xml:space="preserve">Nhóm tiến hành phân tích các nhóm tài liệu nội bộ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pPr>
        <w:spacing w:before="80" w:after="200" w:line="276" w:lineRule="auto"/>
        <w:jc w:val="center"/>
      </w:pPr>
      <w:r>
        <w:rPr>
          <w:rFonts w:ascii="Times New Roman" w:eastAsia="Times New Roman" w:hAnsi="Times New Roman" w:cs="Times New Roman"/>
          <w:b/>
          <w:bCs/>
          <w:i/>
          <w:iCs/>
          <w:sz w:val="24"/>
          <w:szCs w:val="24"/>
        </w:rPr>
        <w:t xml:space="preserve">Bảng 3.1 Danh mục tài liệu và minh chứng quy trình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1400"/>
        <w:gridCol w:w="1300"/>
        <w:gridCol w:w="3200"/>
        <w:gridCol w:w="1800"/>
        <w:gridCol w:w="8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Tên tài liệu</w:t>
            </w:r>
          </w:p>
        </w:tc>
        <w:tc>
          <w:tcPr>
            <w:tcW w:w="13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Mô tả</w:t>
            </w:r>
          </w:p>
        </w:tc>
        <w:tc>
          <w:tcPr>
            <w:tcW w:w="1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Nguồn / Đơn vị cung cấp</w:t>
            </w:r>
          </w:p>
        </w:tc>
        <w:tc>
          <w:tcPr>
            <w:tcW w:w="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Mã phụ lục</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Mô tả quy trình hiện có</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Tài liệu nội bộ</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Kiến trúc, các bước thực hiện, tác nhân và kết quả có thể xảy ra của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PL-01</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vị trí và mối quan hệ phối hợp trong doanh nghiệp</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PL-02</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vận hành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Tỷ lệ đúng hạn, sai lịch, hoàn tất và khiếu nại theo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 CSKH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PL-03</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Chính sách nội bộ</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Văn bản quy định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Quy định, tiêu chuẩn dịch vụ và điều kiện xử lý áp dụng cho các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và các khối chức năng</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PL-04</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hoạch làm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phân ca / lịch công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 làm việc, lịch phân công và thời hạn xử lý theo từng giai đoạn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CSKH, Nhân sự</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PL-05</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Thuật ngữ và sổ tay</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Sổ tay / quy chuẩn nghiệp vụ</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Định nghĩa nghiệp vụ, quy chuẩn kỹ thuật và hướng dẫn thao tác dùng chung</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Viettel Post (sổ tay quy chuẩn dịch vụ, vận hành, kỹ thuật)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PL-06</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công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thao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Cách thực hiện, điều kiện ngoại lệ và yêu cầu bàn giao trong từng bước</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PL-07</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nghiệp vụ</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 chứng từ</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Phiếu, checklist, biên bản, tờ trình và chứng từ sử dụng trong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PL-08</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3"/>
        <w:spacing w:before="220" w:after="100" w:line="360" w:lineRule="auto"/>
        <w:jc w:val="left"/>
      </w:pPr>
      <w:bookmarkStart w:id="9013" w:name="_Toc532871012"/>
      <w:r>
        <w:rPr>
          <w:rFonts w:ascii="Times New Roman" w:eastAsia="Times New Roman" w:hAnsi="Times New Roman" w:cs="Times New Roman"/>
          <w:b/>
          <w:bCs/>
          <w:sz w:val="26"/>
          <w:szCs w:val="26"/>
        </w:rPr>
        <w:t xml:space="preserve">3.1.1. Sơ đồ tổ chức</w:t>
      </w:r>
      <w:bookmarkEnd w:id="9013"/>
    </w:p>
    <w:p>
      <w:pPr>
        <w:spacing w:before="0" w:after="120" w:line="360" w:lineRule="auto"/>
        <w:jc w:val="both"/>
      </w:pPr>
      <w:r>
        <w:rPr>
          <w:rFonts w:ascii="Times New Roman" w:eastAsia="Times New Roman" w:hAnsi="Times New Roman" w:cs="Times New Roman"/>
          <w:sz w:val="26"/>
          <w:szCs w:val="26"/>
        </w:rPr>
        <w:t xml:space="preserve">Sơ đồ tổ chức của Viettel Post — căn cứ để xác định các actor và đối tượng phỏng vấn trong Mục 3.2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pPr>
        <w:pStyle w:val="Heading3"/>
        <w:spacing w:before="220" w:after="100" w:line="360" w:lineRule="auto"/>
        <w:jc w:val="left"/>
      </w:pPr>
      <w:bookmarkStart w:id="9014" w:name="_Toc269166978"/>
      <w:r>
        <w:rPr>
          <w:rFonts w:ascii="Times New Roman" w:eastAsia="Times New Roman" w:hAnsi="Times New Roman" w:cs="Times New Roman"/>
          <w:b/>
          <w:bCs/>
          <w:sz w:val="26"/>
          <w:szCs w:val="26"/>
        </w:rPr>
        <w:t xml:space="preserve">3.1.2. Kế hoạch làm việc</w:t>
      </w:r>
      <w:bookmarkEnd w:id="9014"/>
    </w:p>
    <w:p>
      <w:pPr>
        <w:spacing w:before="0" w:after="120" w:line="360" w:lineRule="auto"/>
        <w:jc w:val="both"/>
      </w:pPr>
      <w:r>
        <w:rPr>
          <w:rFonts w:ascii="Times New Roman" w:eastAsia="Times New Roman" w:hAnsi="Times New Roman" w:cs="Times New Roman"/>
          <w:sz w:val="26"/>
          <w:szCs w:val="26"/>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pPr>
        <w:spacing w:before="120" w:after="0" w:line="276" w:lineRule="auto"/>
        <w:jc w:val="center"/>
      </w:pPr>
      <w:r>
        <w:rPr>
          <w:rFonts w:ascii="Times New Roman" w:eastAsia="Times New Roman" w:hAnsi="Times New Roman" w:cs="Times New Roman"/>
          <w:noProof/>
        </w:rPr>
        <w:drawing>
          <wp:inline distT="0" distB="0" distL="0" distR="0" wp14:anchorId="363F245B" wp14:editId="61860C55">
            <wp:extent cx="5760720" cy="2406409"/>
            <wp:effectExtent l="0" t="0" r="0" b="0"/>
            <wp:docPr id="104" name="KeHoachLamViecTheoCa"/>
            <wp:cNvGraphicFramePr/>
            <a:graphic xmlns:a="http://schemas.openxmlformats.org/drawingml/2006/main">
              <a:graphicData uri="http://schemas.openxmlformats.org/drawingml/2006/picture">
                <pic:pic xmlns:pic="http://schemas.openxmlformats.org/drawingml/2006/picture">
                  <pic:nvPicPr>
                    <pic:cNvPr id="104" name="KeHoachLamViecTheoCa"/>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3.1 Kế hoạch làm việc theo ca và theo giai đoạn tích lũy</w:t>
      </w:r>
    </w:p>
    <w:p>
      <w:pPr>
        <w:spacing w:before="0" w:after="200" w:line="276" w:lineRule="auto"/>
        <w:jc w:val="center"/>
      </w:pPr>
      <w:r>
        <w:rPr>
          <w:rFonts w:ascii="Times New Roman" w:eastAsia="Times New Roman" w:hAnsi="Times New Roman" w:cs="Times New Roman"/>
          <w:i/>
          <w:iCs/>
          <w:sz w:val="22"/>
          <w:szCs w:val="22"/>
        </w:rPr>
        <w:t xml:space="preserve">Nguồn: Nhóm tổng hợp từ kế hoạch làm việc nội bộ Viettel Post, 2026.</w:t>
      </w:r>
    </w:p>
    <w:p>
      <w:pPr>
        <w:pStyle w:val="Heading3"/>
        <w:spacing w:before="220" w:after="100" w:line="360" w:lineRule="auto"/>
        <w:jc w:val="left"/>
      </w:pPr>
      <w:bookmarkStart w:id="9015" w:name="_Toc480184514"/>
      <w:r>
        <w:rPr>
          <w:rFonts w:ascii="Times New Roman" w:eastAsia="Times New Roman" w:hAnsi="Times New Roman" w:cs="Times New Roman"/>
          <w:b/>
          <w:bCs/>
          <w:sz w:val="26"/>
          <w:szCs w:val="26"/>
        </w:rPr>
        <w:t xml:space="preserve">3.1.3. Thuật ngữ và sổ tay</w:t>
      </w:r>
      <w:bookmarkEnd w:id="9015"/>
    </w:p>
    <w:p>
      <w:pPr>
        <w:spacing w:before="0" w:after="120" w:line="360" w:lineRule="auto"/>
        <w:jc w:val="both"/>
      </w:pPr>
      <w:r>
        <w:rPr>
          <w:rFonts w:ascii="Times New Roman" w:eastAsia="Times New Roman" w:hAnsi="Times New Roman" w:cs="Times New Roman"/>
          <w:sz w:val="26"/>
          <w:szCs w:val="26"/>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pPr>
        <w:spacing w:before="80" w:after="200" w:line="276" w:lineRule="auto"/>
        <w:jc w:val="center"/>
      </w:pPr>
      <w:r>
        <w:rPr>
          <w:rFonts w:ascii="Times New Roman" w:eastAsia="Times New Roman" w:hAnsi="Times New Roman" w:cs="Times New Roman"/>
          <w:b/>
          <w:bCs/>
          <w:i/>
          <w:iCs/>
          <w:sz w:val="24"/>
          <w:szCs w:val="24"/>
        </w:rPr>
        <w:t xml:space="preserve">Bảng 3.2 Thuật ngữ và định nghĩa</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2000"/>
        <w:gridCol w:w="2600"/>
        <w:gridCol w:w="4426"/>
      </w:tblGrid>
      <w:tr>
        <w:trPr>
          <w:jc w:val="center"/>
          <w:tblHeader/>
          <w:cantSplit/>
        </w:trPr>
        <w:tc>
          <w:tcPr>
            <w:tcW w:w="20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Thuật ngữ</w:t>
            </w:r>
          </w:p>
        </w:tc>
        <w:tc>
          <w:tcPr>
            <w:tcW w:w="2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Tiếng Anh</w:t>
            </w:r>
          </w:p>
        </w:tc>
        <w:tc>
          <w:tcPr>
            <w:tcW w:w="44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Ý nghĩa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POD / ePOD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Proof of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Bằng chứng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OMS / API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Order Management System / API</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Tiếp nhận và ghi nhận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TMS / CRM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Transport Management System / Customer Relationship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lý vận tải và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Human Resource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trị nhân sự</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SSOT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Single Source of Truth</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Nguồn dữ liệu dùng chung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WMS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Warehouse Management System</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Hệ thống quản lý kho</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Cash On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hộ tiền khi giao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SLA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Service Level Agreement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Cam kết thời gian xử lý</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CSAT / FCR</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Customer Satisfaction / First Contact Resolution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Chất lượng phục vụ khách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Key Performance Indicator</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chính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BPMN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Business Process Model and Notation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Ký hiệu và mô hình quy trình kinh doanh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Cấu trúc mô hình BPMN: phạm vi tác nhân, phân chia trách nhiệm, điểm quyết định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 / BVA / NVA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Value-Added / Business Value-Added / Non-Value-Added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Phân loại giá trị của một hoạt động trong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 WT / CT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Processing Time / Waiting Time / Cycle Time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thành phần thời gian xử lý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PCE / FTR / Yield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 Cycle Efficiency / First Time Right / Yield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và chất lượng quy trình</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MOVE (Motion)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Motion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di chuyển thừa (một trong tám loại lãng phí Lean)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HOLD (Waiting)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Waiting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chờ đợi hoặc tồn đọng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OVERDO (Overprocessing)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Overprocessing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xử lý vượt mức cần thiết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kê hàng gom theo tuyến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Vận đơn / Waybill</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Waybill</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Chứng từ thông tin đơn hàng</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DWS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Dimension Weight Scan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Cân, đo và kiểm tra kích thước hàng hóa</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Đối soát / Reconciliation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Reconciliation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số liệu COD giữa các bên liên quan</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lệch / Variance</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Variance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Chênh lệch số liệu hoặc tiền phát sinh khi đối soát</w:t>
            </w:r>
          </w:p>
        </w:tc>
      </w:tr>
      <w:tr>
        <w:trPr>
          <w:cantSplit/>
        </w:trP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SBU</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Strategic Business Unit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Đơn vị kinh doanh chiến lược</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sổ tay quy chuẩn dịch vụ, quy chuẩn vận hành và tài liệu nội bộ Viettel Post, 2024–2026.</w:t>
      </w:r>
    </w:p>
    <w:p>
      <w:pPr>
        <w:pStyle w:val="Heading3"/>
        <w:spacing w:before="220" w:after="100" w:line="360" w:lineRule="auto"/>
        <w:jc w:val="left"/>
      </w:pPr>
      <w:bookmarkStart w:id="9016" w:name="_Toc627048281"/>
      <w:r>
        <w:rPr>
          <w:rFonts w:ascii="Times New Roman" w:eastAsia="Times New Roman" w:hAnsi="Times New Roman" w:cs="Times New Roman"/>
          <w:b/>
          <w:bCs/>
          <w:sz w:val="26"/>
          <w:szCs w:val="26"/>
        </w:rPr>
        <w:t xml:space="preserve">3.1.4. Biểu mẫu nghiệp vụ</w:t>
      </w:r>
      <w:bookmarkEnd w:id="9016"/>
    </w:p>
    <w:p>
      <w:pPr>
        <w:spacing w:before="0" w:after="120" w:line="360" w:lineRule="auto"/>
        <w:jc w:val="both"/>
      </w:pPr>
      <w:r>
        <w:rPr>
          <w:rFonts w:ascii="Times New Roman" w:eastAsia="Times New Roman" w:hAnsi="Times New Roman" w:cs="Times New Roman"/>
          <w:sz w:val="26"/>
          <w:szCs w:val="26"/>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Tiếp nhận đơn hàng, dùng thu thập yêu cầu tạo đơn và phiếu bưu gửi ngay từ bước tiếp nhận:</w:t>
      </w:r>
    </w:p>
    <w:p>
      <w:pPr>
        <w:spacing w:before="80" w:after="0" w:line="276" w:lineRule="auto"/>
        <w:jc w:val="center"/>
      </w:pPr>
      <w:r>
        <w:rPr>
          <w:rFonts w:ascii="Times New Roman" w:eastAsia="Times New Roman" w:hAnsi="Times New Roman" w:cs="Times New Roman"/>
          <w:noProof/>
        </w:rPr>
        <w:drawing>
          <wp:inline distT="0" distB="0" distL="0" distR="0">
            <wp:extent cx="3474720" cy="4343400"/>
            <wp:effectExtent l="0" t="0" r="0" b="0"/>
            <wp:docPr id="300" name="PhieuYeuCauTaoDon"/>
            <wp:cNvGraphicFramePr/>
            <a:graphic xmlns:a="http://schemas.openxmlformats.org/drawingml/2006/main">
              <a:graphicData uri="http://schemas.openxmlformats.org/drawingml/2006/picture">
                <pic:pic xmlns:pic="http://schemas.openxmlformats.org/drawingml/2006/picture">
                  <pic:nvPicPr>
                    <pic:cNvPr id="300" name="PhieuYeuCauTaoDon"/>
                    <pic:cNvPicPr preferRelativeResize="0"/>
                  </pic:nvPicPr>
                  <pic:blipFill>
                    <a:blip r:embed="rId33"/>
                    <a:srcRect/>
                    <a:stretch>
                      <a:fillRect/>
                    </a:stretch>
                  </pic:blipFill>
                  <pic:spPr>
                    <a:xfrm>
                      <a:off x="0" y="0"/>
                      <a:ext cx="3474720" cy="434340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3.2: Phiếu yêu cầu tạo đơn (BM-TNĐH-01)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minh họa theo dữ liệu nghiệp vụ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Giao hàng và xác nhận, tổng hợp OTP, chữ ký điện tử, ảnh giao hàng và eBook trạng thái làm bằng chứng giao nhận:</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1" name="BienBanGiaoHangXacNhan"/>
            <wp:cNvGraphicFramePr/>
            <a:graphic xmlns:a="http://schemas.openxmlformats.org/drawingml/2006/main">
              <a:graphicData uri="http://schemas.openxmlformats.org/drawingml/2006/picture">
                <pic:pic xmlns:pic="http://schemas.openxmlformats.org/drawingml/2006/picture">
                  <pic:nvPicPr>
                    <pic:cNvPr id="301" name="BienBanGiaoHangXacNhan"/>
                    <pic:cNvPicPr preferRelativeResize="0"/>
                  </pic:nvPicPr>
                  <pic:blipFill>
                    <a:blip r:embed="rId34"/>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3.3: Biên bản giao hàng và xác nhận (BM-GH-01)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Hoàn trả, ghi nhận lý do hoàn trả và căn cứ đối chiếu nhập kho/HTMS:</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2" name="PhieuYeuCauHoanTra"/>
            <wp:cNvGraphicFramePr/>
            <a:graphic xmlns:a="http://schemas.openxmlformats.org/drawingml/2006/main">
              <a:graphicData uri="http://schemas.openxmlformats.org/drawingml/2006/picture">
                <pic:pic xmlns:pic="http://schemas.openxmlformats.org/drawingml/2006/picture">
                  <pic:nvPicPr>
                    <pic:cNvPr id="302" name="PhieuYeuCauHoanTra"/>
                    <pic:cNvPicPr preferRelativeResize="0"/>
                  </pic:nvPicPr>
                  <pic:blipFill>
                    <a:blip r:embed="rId35"/>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3.4: Phiếu yêu cầu hoàn trả (BM-HT-01)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CSKH, ghi nhận khiếu nại (ticket CRM) và biên bản xử lý kèm chứng từ bổ sung:</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3" name="PhieuTiepNhanKhieuNaiCSKH"/>
            <wp:cNvGraphicFramePr/>
            <a:graphic xmlns:a="http://schemas.openxmlformats.org/drawingml/2006/main">
              <a:graphicData uri="http://schemas.openxmlformats.org/drawingml/2006/picture">
                <pic:pic xmlns:pic="http://schemas.openxmlformats.org/drawingml/2006/picture">
                  <pic:nvPicPr>
                    <pic:cNvPr id="303" name="PhieuTiepNhanKhieuNaiCSKH"/>
                    <pic:cNvPicPr preferRelativeResize="0"/>
                  </pic:nvPicPr>
                  <pic:blipFill>
                    <a:blip r:embed="rId36"/>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3.5: Phiếu tiếp nhận khiếu nại CSKH (BM-CSKH-01)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Thu phí COD, tổng hợp vận đơn có phí COD và danh sách đối soát, xác nhận chuyển tiền:</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4" name="BienBanDoiSoatCOD"/>
            <wp:cNvGraphicFramePr/>
            <a:graphic xmlns:a="http://schemas.openxmlformats.org/drawingml/2006/main">
              <a:graphicData uri="http://schemas.openxmlformats.org/drawingml/2006/picture">
                <pic:pic xmlns:pic="http://schemas.openxmlformats.org/drawingml/2006/picture">
                  <pic:nvPicPr>
                    <pic:cNvPr id="304" name="BienBanDoiSoatCOD"/>
                    <pic:cNvPicPr preferRelativeResize="0"/>
                  </pic:nvPicPr>
                  <pic:blipFill>
                    <a:blip r:embed="rId37"/>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3.6: Biên bản đối soát COD (BM-COD-01)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Đối tác vận tải, tập hợp phiếu đăng ký, hồ sơ pháp lý và tờ trình, hợp đồng nguyên tắc:</w:t>
      </w:r>
    </w:p>
    <w:p>
      <w:pPr>
        <w:spacing w:before="80" w:after="0" w:line="276" w:lineRule="auto"/>
        <w:jc w:val="center"/>
      </w:pPr>
      <w:r>
        <w:rPr>
          <w:rFonts w:ascii="Times New Roman" w:eastAsia="Times New Roman" w:hAnsi="Times New Roman" w:cs="Times New Roman"/>
          <w:noProof/>
        </w:rPr>
        <w:drawing>
          <wp:inline distT="0" distB="0" distL="0" distR="0">
            <wp:extent cx="3474720" cy="4343400"/>
            <wp:effectExtent l="0" t="0" r="0" b="0"/>
            <wp:docPr id="305" name="HoSoDangKyHopTacVanTai"/>
            <wp:cNvGraphicFramePr/>
            <a:graphic xmlns:a="http://schemas.openxmlformats.org/drawingml/2006/main">
              <a:graphicData uri="http://schemas.openxmlformats.org/drawingml/2006/picture">
                <pic:pic xmlns:pic="http://schemas.openxmlformats.org/drawingml/2006/picture">
                  <pic:nvPicPr>
                    <pic:cNvPr id="305" name="HoSoDangKyHopTacVanTai"/>
                    <pic:cNvPicPr preferRelativeResize="0"/>
                  </pic:nvPicPr>
                  <pic:blipFill>
                    <a:blip r:embed="rId38"/>
                    <a:srcRect/>
                    <a:stretch>
                      <a:fillRect/>
                    </a:stretch>
                  </pic:blipFill>
                  <pic:spPr>
                    <a:xfrm>
                      <a:off x="0" y="0"/>
                      <a:ext cx="3474720" cy="434340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3.7: Hồ sơ đăng ký hợp tác vận tải (HS-VT-01)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minh họa theo dữ liệu nghiệp vụ Viettel Post, 2026.</w:t>
      </w:r>
    </w:p>
    <w:p>
      <w:pPr>
        <w:spacing w:before="160" w:after="80" w:line="360" w:lineRule="auto"/>
        <w:jc w:val="both"/>
      </w:pPr>
      <w:r>
        <w:rPr>
          <w:rFonts w:ascii="Times New Roman" w:eastAsia="Times New Roman" w:hAnsi="Times New Roman" w:cs="Times New Roman"/>
          <w:i/>
          <w:iCs/>
          <w:sz w:val="26"/>
          <w:szCs w:val="26"/>
        </w:rPr>
        <w:t xml:space="preserve">Biểu mẫu tương ứng với nhóm quy trình Tuyển dụng - đào tạo, ghi nhận phiếu tuyển dụng, kết quả thi/test và hồ sơ đào tạo:</w:t>
      </w:r>
    </w:p>
    <w:p>
      <w:pPr>
        <w:spacing w:before="80" w:after="0" w:line="276" w:lineRule="auto"/>
        <w:jc w:val="center"/>
      </w:pPr>
      <w:r>
        <w:rPr>
          <w:rFonts w:ascii="Times New Roman" w:eastAsia="Times New Roman" w:hAnsi="Times New Roman" w:cs="Times New Roman"/>
          <w:noProof/>
        </w:rPr>
        <w:drawing>
          <wp:inline distT="0" distB="0" distL="0" distR="0">
            <wp:extent cx="3474720" cy="3474720"/>
            <wp:effectExtent l="0" t="0" r="0" b="0"/>
            <wp:docPr id="306" name="PhieuTuyenDungDaoTao"/>
            <wp:cNvGraphicFramePr/>
            <a:graphic xmlns:a="http://schemas.openxmlformats.org/drawingml/2006/main">
              <a:graphicData uri="http://schemas.openxmlformats.org/drawingml/2006/picture">
                <pic:pic xmlns:pic="http://schemas.openxmlformats.org/drawingml/2006/picture">
                  <pic:nvPicPr>
                    <pic:cNvPr id="306" name="PhieuTuyenDungDaoTao"/>
                    <pic:cNvPicPr preferRelativeResize="0"/>
                  </pic:nvPicPr>
                  <pic:blipFill>
                    <a:blip r:embed="rId39"/>
                    <a:srcRect/>
                    <a:stretch>
                      <a:fillRect/>
                    </a:stretch>
                  </pic:blipFill>
                  <pic:spPr>
                    <a:xfrm>
                      <a:off x="0" y="0"/>
                      <a:ext cx="3474720" cy="3474720"/>
                    </a:xfrm>
                    <a:prstGeom prst="rect">
                      <a:avLst/>
                    </a:prstGeom>
                    <a:ln/>
                  </pic:spPr>
                </pic:pic>
              </a:graphicData>
            </a:graphic>
          </wp:inline>
        </w:drawing>
      </w:r>
    </w:p>
    <w:p>
      <w:pPr>
        <w:spacing w:before="80" w:after="60" w:line="276" w:lineRule="auto"/>
        <w:jc w:val="center"/>
      </w:pPr>
      <w:r>
        <w:rPr>
          <w:rFonts w:ascii="Times New Roman" w:eastAsia="Times New Roman" w:hAnsi="Times New Roman" w:cs="Times New Roman"/>
          <w:b/>
          <w:bCs/>
          <w:i/>
          <w:iCs/>
          <w:sz w:val="24"/>
          <w:szCs w:val="24"/>
        </w:rPr>
        <w:t xml:space="preserve">Hình 3.8: Phiếu tuyển dụng và đào tạo (BM-TDDT-01)</w:t>
      </w:r>
    </w:p>
    <w:p>
      <w:pPr>
        <w:spacing w:before="0" w:after="200" w:line="276" w:lineRule="auto"/>
        <w:jc w:val="center"/>
      </w:pPr>
      <w:r>
        <w:rPr>
          <w:rFonts w:ascii="Times New Roman" w:eastAsia="Times New Roman" w:hAnsi="Times New Roman" w:cs="Times New Roman"/>
          <w:i/>
          <w:iCs/>
          <w:sz w:val="22"/>
          <w:szCs w:val="22"/>
        </w:rPr>
        <w:t xml:space="preserve">Nguồn: Nhóm đề xuất xây dựng dựa trên mục Hồ sơ và biểu mẫu, tài liệu Slide Viettel Post, 2026.</w:t>
      </w:r>
    </w:p>
    <w:p>
      <w:pPr>
        <w:pStyle w:val="Heading2"/>
        <w:spacing w:before="280" w:after="140" w:line="360" w:lineRule="auto"/>
        <w:jc w:val="left"/>
      </w:pPr>
      <w:bookmarkStart w:id="9017" w:name="_Toc489325288"/>
      <w:r>
        <w:rPr>
          <w:rFonts w:ascii="Times New Roman" w:eastAsia="Times New Roman" w:hAnsi="Times New Roman" w:cs="Times New Roman"/>
          <w:b/>
          <w:bCs/>
          <w:sz w:val="27"/>
          <w:szCs w:val="27"/>
        </w:rPr>
        <w:t xml:space="preserve">3.2. Phỏng vấn</w:t>
      </w:r>
      <w:bookmarkEnd w:id="9017"/>
    </w:p>
    <w:p>
      <w:pPr>
        <w:spacing w:before="0" w:after="120" w:line="360" w:lineRule="auto"/>
        <w:jc w:val="both"/>
      </w:pPr>
      <w:r>
        <w:rPr>
          <w:rFonts w:ascii="Times New Roman" w:eastAsia="Times New Roman" w:hAnsi="Times New Roman" w:cs="Times New Roman"/>
          <w:sz w:val="26"/>
          <w:szCs w:val="26"/>
        </w:rPr>
        <w:t xml:space="preserve">Phỏng vấn được thực hiện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pPr>
        <w:spacing w:before="80" w:after="200" w:line="276" w:lineRule="auto"/>
        <w:jc w:val="center"/>
      </w:pPr>
      <w:r>
        <w:rPr>
          <w:rFonts w:ascii="Times New Roman" w:eastAsia="Times New Roman" w:hAnsi="Times New Roman" w:cs="Times New Roman"/>
          <w:b/>
          <w:bCs/>
          <w:i/>
          <w:iCs/>
          <w:sz w:val="24"/>
          <w:szCs w:val="24"/>
        </w:rPr>
        <w:t xml:space="preserve">Bảng 3.3 Đối chiếu actor, BPMN và đối tượng phỏng vấn</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1700"/>
        <w:gridCol w:w="1700"/>
        <w:gridCol w:w="1900"/>
        <w:gridCol w:w="1900"/>
        <w:gridCol w:w="1826"/>
      </w:tblGrid>
      <w:tr>
        <w:trPr>
          <w:jc w:val="center"/>
          <w:tblHeader/>
          <w:cantSplit/>
        </w:trPr>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Actor - tác nhân trong mô tả</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Pool/Lane trên BPMN</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phỏng vấn / minh chứng</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Chức vụ / nguồn dữ liệu</w:t>
            </w:r>
          </w:p>
        </w:tc>
        <w:tc>
          <w:tcPr>
            <w:tcW w:w="1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Kết quả đối chiếu</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“Người giao hàng” – Giao hàng tận nơi &amp; xác nhận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khu vực nội thành</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“Bưu cục Viettel Post” – Tiếp nhận đơn hàng / Đối soát</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khai thác tại bưu cục</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CSKH” – Chăm sóc khách hàng / Quản lý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xử lý khiếu nại và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Khối kinh doanh</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Kế toán” – Xử lý thu hộ COD &amp; chuyển tiền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phụ trách đối soát COD</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rPr>
          <w:cantSplit/>
        </w:trP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 (HR)</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“Phòng Nhân sự” – Quy trình báo cáo và tuyển dụng</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tuyển dụng và đào tạo</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nhân sự,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bl>
    <w:p>
      <w:pPr>
        <w:spacing w:before="0" w:after="200" w:line="276" w:lineRule="auto"/>
        <w:jc w:val="center"/>
      </w:pPr>
      <w:r>
        <w:rPr>
          <w:rFonts w:ascii="Times New Roman" w:eastAsia="Times New Roman" w:hAnsi="Times New Roman" w:cs="Times New Roman"/>
          <w:i/>
          <w:iCs/>
          <w:sz w:val="22"/>
          <w:szCs w:val="22"/>
        </w:rPr>
        <w:t xml:space="preserve">Nguồn: Nhóm đối chiếu từ sơ đồ tổ chức (Hình 1.2) và kiến trúc quy trình (Chương 2).</w:t>
      </w:r>
    </w:p>
    <w:p>
      <w:pPr>
        <w:pStyle w:val="Heading3"/>
        <w:spacing w:before="220" w:after="100" w:line="360" w:lineRule="auto"/>
        <w:jc w:val="left"/>
      </w:pPr>
      <w:bookmarkStart w:id="9018" w:name="_Toc095701543"/>
      <w:r>
        <w:rPr>
          <w:rFonts w:ascii="Times New Roman" w:eastAsia="Times New Roman" w:hAnsi="Times New Roman" w:cs="Times New Roman"/>
          <w:b/>
          <w:bCs/>
          <w:sz w:val="26"/>
          <w:szCs w:val="26"/>
        </w:rPr>
        <w:t xml:space="preserve">3.2.1. Câu hỏi định tính</w:t>
      </w:r>
      <w:bookmarkEnd w:id="9018"/>
    </w:p>
    <w:p>
      <w:pPr>
        <w:spacing w:before="0" w:after="120" w:line="360" w:lineRule="auto"/>
        <w:jc w:val="both"/>
      </w:pPr>
      <w:r>
        <w:rPr>
          <w:rFonts w:ascii="Times New Roman" w:eastAsia="Times New Roman" w:hAnsi="Times New Roman" w:cs="Times New Roman"/>
          <w:sz w:val="26"/>
          <w:szCs w:val="26"/>
        </w:rPr>
        <w:t xml:space="preserve">Bộ câu hỏi định tính gồm 10 câu, trong đó 5 câu có cấu trúc với các phương án trả lời cho trước và 5 câu mở không có cấu trúc nhằm khai thác sâu các tình huống ngoại lệ.</w:t>
      </w:r>
    </w:p>
    <w:p>
      <w:pPr>
        <w:spacing w:before="80" w:after="200" w:line="276" w:lineRule="auto"/>
        <w:jc w:val="center"/>
      </w:pPr>
      <w:r>
        <w:rPr>
          <w:rFonts w:ascii="Times New Roman" w:eastAsia="Times New Roman" w:hAnsi="Times New Roman" w:cs="Times New Roman"/>
          <w:b/>
          <w:bCs/>
          <w:i/>
          <w:iCs/>
          <w:sz w:val="24"/>
          <w:szCs w:val="24"/>
        </w:rPr>
        <w:t xml:space="preserve">Bảng 3.4 Danh sách câu hỏi định tính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tìm hiểu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DT-01 – Các bước thực tế có tuân theo BPMN khi cập nhật kết quả giao hàng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mức độ tuân thủ quy trình BPMN đã mô hình hóa</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DT-02 – Những trường thông tin nào bắt buộc ở mỗi lần tạo đơn?</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các trường dữ liệu bắt buộc khi tiếp nhận đơn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DT-03 – WMS có đáp ứng việc kiểm tra ngoại quan hàng hoàn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mức độ đáp ứng của hệ thống WMS cho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DT-04 – Khó khăn lớn nhất khi xác minh vỡ hỏng / mất mát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Tìm hiểu nguyên nhân phổ biến gây khó khăn khi xác minh vỡ hỏng, mất mát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DT-05 – Đào tạo hội nhập được xử lý ra sao khi nhân viên chưa đạt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quy trình xử lý khi nhân viên chưa đạt yêu cầu đào tạo lần đầu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DT-06 – Hãy kể về một ca giao khó gần đây và cách anh/chị xử lý.</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DT-07 – Ngoại lệ nào không được thể hiện trên sơ đồ?</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được mô hình hóa trong BPMN tiếp nhận đơn</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DT-08 – Điểm nghẽn lớn nhất khi xác minh nguyên nhân hoàn trả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DT-09 – Giải pháp nào giúp rút ngắn thời gian đối soát giữa CSKH và Kho?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DT-10 – Điểm nghẽn lớn nhất khi phối hợp tuyển dụng – đào tạo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3.5 Ghi nhận câu trả lời cho câu hỏi định tính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Tuân thủ đúng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khâu được kiểm soát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thống nhất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DT-02</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Mỗi trường/quy định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Đúng lớp quản tác chung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Kết hợp chung + riêng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Đáp ứng tốt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Một phần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đáp ứng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Thiếu ảnh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Khó theo dõi số</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hệ thống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một buổi</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Đào tạo + đánh giá + bổ sung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một lần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phỏng vấn thực tế theo bộ câu hỏi tại Bảng 3.4.</w:t>
      </w:r>
    </w:p>
    <w:p>
      <w:pPr>
        <w:spacing w:before="80" w:after="200" w:line="276" w:lineRule="auto"/>
        <w:jc w:val="center"/>
      </w:pPr>
      <w:r>
        <w:rPr>
          <w:rFonts w:ascii="Times New Roman" w:eastAsia="Times New Roman" w:hAnsi="Times New Roman" w:cs="Times New Roman"/>
          <w:b/>
          <w:bCs/>
          <w:i/>
          <w:iCs/>
          <w:sz w:val="24"/>
          <w:szCs w:val="24"/>
        </w:rPr>
        <w:t xml:space="preserve">Bảng 3.6 Danh sách câu hỏi định tính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Hãy kể về một ca giao khó gần đây và cách anh/chị xử lý.</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Ngoại lệ nào không được thể hiện trên sơ đồ?</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mô hình hóa trong BPMN tiếp nhận đơn</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DT-08</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xác minh nguyên nhân hoàn trả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Giải pháp nào giúp rút ngắn thời gian đối soát giữa CSKH và Kho?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phối hợp tuyển dụng – đào tạo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pStyle w:val="Heading3"/>
        <w:spacing w:before="220" w:after="100" w:line="360" w:lineRule="auto"/>
        <w:jc w:val="left"/>
      </w:pPr>
      <w:bookmarkStart w:id="9019" w:name="_Toc039117182"/>
      <w:r>
        <w:rPr>
          <w:rFonts w:ascii="Times New Roman" w:eastAsia="Times New Roman" w:hAnsi="Times New Roman" w:cs="Times New Roman"/>
          <w:b/>
          <w:bCs/>
          <w:sz w:val="26"/>
          <w:szCs w:val="26"/>
        </w:rPr>
        <w:t xml:space="preserve">3.2.2. Câu hỏi định lượng</w:t>
      </w:r>
      <w:bookmarkEnd w:id="9019"/>
    </w:p>
    <w:p>
      <w:pPr>
        <w:spacing w:before="0" w:after="120" w:line="360" w:lineRule="auto"/>
        <w:jc w:val="both"/>
      </w:pPr>
      <w:r>
        <w:rPr>
          <w:rFonts w:ascii="Times New Roman" w:eastAsia="Times New Roman" w:hAnsi="Times New Roman" w:cs="Times New Roman"/>
          <w:sz w:val="26"/>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pPr>
        <w:spacing w:before="80" w:after="200" w:line="276" w:lineRule="auto"/>
        <w:jc w:val="center"/>
      </w:pPr>
      <w:r>
        <w:rPr>
          <w:rFonts w:ascii="Times New Roman" w:eastAsia="Times New Roman" w:hAnsi="Times New Roman" w:cs="Times New Roman"/>
          <w:b/>
          <w:bCs/>
          <w:i/>
          <w:iCs/>
          <w:sz w:val="24"/>
          <w:szCs w:val="24"/>
        </w:rPr>
        <w:t xml:space="preserve">Bảng 3.7 Danh sách câu hỏi định lượng</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cantSplit/>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giá trị cần đo</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DL-01 (PT) – Thời gian xử lý một activity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xử lý (Processing Time) trung bình của một hoạt động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DL-02 (WT) – Thời gian chờ của hồ sơ hoặc phản hồi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DL-03 (CT) – Từ khi nhận yêu cầu đến khi gửi xác nhận mất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tổng thời gian chu kỳ (Cycle Time) của một yêu cầu</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DL-04 (FPY) – Bao nhiêu yêu cầu hợp lệ ngay từ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đạt ngay lần đầu (First Pass Yield)</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DL-05 (Waybill) – Tỷ lệ tạo vận đơn thành công là bao nhiêu?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tiếp nhận đơn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tạo vận đơn thành công</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DL-06 (Theo kênh) – PT và WT biến động theo Web, App và Quầy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(Web / App / Quầy)</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DL-07 (Nhóm lỗi) – Lỗi địa chỉ, COD, hàng hóa và dịch vụ có tần suất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 lỗi</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DL-08 (Queue) – Yêu cầu bị tồn trong hàng chờ bao lâu trước khi đóng?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tồn đọng trong hàng chờ xử lý</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DL-09 (Chi phí) – Chi phí CSKH và xử lý lại thay đổi theo loại ngoại lệ thế nào?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loại ngoại lệ</w:t>
            </w:r>
          </w:p>
        </w:tc>
      </w:tr>
      <w:tr>
        <w:trPr>
          <w:cantSplit/>
        </w:trP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DL-10 (Giới hạn điểm) – PT, WT, CT và tỷ lệ thành công phân tán thế nào theo giờ?</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khung giờ</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3.8 Ghi nhận câu trả lời cho câu hỏi định lượng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85–90%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80–90%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DL-08</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1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3–7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3.7.</w:t>
      </w:r>
    </w:p>
    <w:p>
      <w:pPr>
        <w:spacing w:before="80" w:after="200" w:line="276" w:lineRule="auto"/>
        <w:jc w:val="center"/>
      </w:pPr>
      <w:r>
        <w:rPr>
          <w:rFonts w:ascii="Times New Roman" w:eastAsia="Times New Roman" w:hAnsi="Times New Roman" w:cs="Times New Roman"/>
          <w:b/>
          <w:bCs/>
          <w:i/>
          <w:iCs/>
          <w:sz w:val="24"/>
          <w:szCs w:val="24"/>
        </w:rPr>
        <w:t xml:space="preserve">Bảng 3.9 Danh sách câu hỏi định lượng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cantSplit/>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DL-02</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Thời gian chờ của hồ sơ hoặc phản hồi là bao lâu?</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 xử lý</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và WT biến động theo Web, App và Quầy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địa chỉ, COD, hàng hóa và dịch vụ có tần suất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 CSKH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Chi phí CSKH và xử lý lại thay đổi theo loại ngoại lệ thế nào?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Dữ liệu đối soát kế toán (dự kiến)</w:t>
            </w:r>
          </w:p>
        </w:tc>
      </w:tr>
      <w:tr>
        <w:trPr>
          <w:cantSplit/>
        </w:trP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WT, CTV và tỷ lệ thành công phân tán thế nào theo giờ?</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TMS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sectPr w:rsidR="006E188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5D1CB" w14:textId="77777777" w:rsidR="005F078C" w:rsidRDefault="005F078C">
      <w:pPr>
        <w:spacing w:line="240" w:lineRule="auto"/>
      </w:pPr>
      <w:r>
        <w:separator/>
      </w:r>
    </w:p>
  </w:endnote>
  <w:endnote w:type="continuationSeparator" w:id="0">
    <w:p w14:paraId="5D7B760D" w14:textId="77777777" w:rsidR="005F078C" w:rsidRDefault="005F0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91577EA0-53FF-DD44-AFD8-443A87FC22B0}"/>
    <w:embedBold r:id="rId2" w:fontKey="{65937832-5610-504E-8688-E1AAFE333825}"/>
  </w:font>
  <w:font w:name="Arial">
    <w:panose1 w:val="020B0604020202020204"/>
    <w:charset w:val="00"/>
    <w:family w:val="swiss"/>
    <w:pitch w:val="variable"/>
    <w:sig w:usb0="E0002AFF" w:usb1="C0007843" w:usb2="00000009" w:usb3="00000000" w:csb0="000001FF" w:csb1="00000000"/>
    <w:embedRegular r:id="rId3" w:fontKey="{82409D9F-D59E-A14A-95F1-3438B869A097}"/>
    <w:embedBold r:id="rId4" w:fontKey="{0C6151FE-62A5-2249-AA56-2E3FF717E406}"/>
    <w:embedItalic r:id="rId5" w:fontKey="{DD3E1CFA-2A9A-AD4D-9032-1E20DAB39D41}"/>
  </w:font>
  <w:font w:name="Calibri">
    <w:panose1 w:val="020F0502020204030204"/>
    <w:charset w:val="00"/>
    <w:family w:val="swiss"/>
    <w:pitch w:val="variable"/>
    <w:sig w:usb0="E0002AFF" w:usb1="C000247B" w:usb2="00000009" w:usb3="00000000" w:csb0="000001FF" w:csb1="00000000"/>
    <w:embedRegular r:id="rId6" w:fontKey="{350EA2BA-5BDA-6145-AC43-D42AD8AC0511}"/>
  </w:font>
  <w:font w:name="Cambria">
    <w:panose1 w:val="02040503050406030204"/>
    <w:charset w:val="00"/>
    <w:family w:val="roman"/>
    <w:pitch w:val="variable"/>
    <w:sig w:usb0="E00002FF" w:usb1="400004FF" w:usb2="00000000" w:usb3="00000000" w:csb0="0000019F" w:csb1="00000000"/>
    <w:embedRegular r:id="rId7" w:fontKey="{B8BB779D-25EB-2A4F-B857-CFBBE7D4D9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A9C96" w14:textId="77777777" w:rsidR="006E1883" w:rsidRDefault="006E18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A1513" w14:textId="77777777" w:rsidR="006E1883" w:rsidRDefault="006E18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CA1A2" w14:textId="77777777" w:rsidR="005F078C" w:rsidRDefault="005F078C">
      <w:pPr>
        <w:spacing w:line="240" w:lineRule="auto"/>
      </w:pPr>
      <w:r>
        <w:separator/>
      </w:r>
    </w:p>
  </w:footnote>
  <w:footnote w:type="continuationSeparator" w:id="0">
    <w:p w14:paraId="2EEBE381" w14:textId="77777777" w:rsidR="005F078C" w:rsidRDefault="005F07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ACA3A" w14:textId="77777777" w:rsidR="006E1883" w:rsidRDefault="005F078C">
    <w:pPr>
      <w:jc w:val="center"/>
      <w:rPr>
        <w:rFonts w:ascii="Times New Roman" w:eastAsia="Times New Roman" w:hAnsi="Times New Roman" w:cs="Times New Roman"/>
        <w:color w:val="434343"/>
        <w:sz w:val="24"/>
        <w:szCs w:val="24"/>
      </w:rPr>
    </w:pPr>
    <w:proofErr w:type="spellStart"/>
    <w:r>
      <w:rPr>
        <w:rFonts w:ascii="Times New Roman" w:eastAsia="Times New Roman" w:hAnsi="Times New Roman" w:cs="Times New Roman"/>
        <w:color w:val="434343"/>
        <w:sz w:val="24"/>
        <w:szCs w:val="24"/>
      </w:rPr>
      <w:t>Báo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cáo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đồ</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án</w:t>
    </w:r>
    <w:proofErr w:type="spellEnd"/>
    <w:r>
      <w:rPr>
        <w:rFonts w:ascii="Times New Roman" w:eastAsia="Times New Roman" w:hAnsi="Times New Roman" w:cs="Times New Roman"/>
        <w:color w:val="434343"/>
        <w:sz w:val="24"/>
        <w:szCs w:val="24"/>
      </w:rPr>
      <w:t xml:space="preserve">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B6D54" w14:textId="77777777" w:rsidR="006E1883" w:rsidRDefault="005F078C">
    <w:r>
      <w:rPr>
        <w:noProof/>
      </w:rPr>
      <mc:AlternateContent>
        <mc:Choice Requires="wpg">
          <w:drawing>
            <wp:anchor distT="0" distB="0" distL="114300" distR="114300" simplePos="0" relativeHeight="251658240" behindDoc="0" locked="0" layoutInCell="1" hidden="0" allowOverlap="1" wp14:anchorId="4E8F35E1" wp14:editId="6712D340">
              <wp:simplePos x="0" y="0"/>
              <wp:positionH relativeFrom="column">
                <wp:posOffset>-790566</wp:posOffset>
              </wp:positionH>
              <wp:positionV relativeFrom="paragraph">
                <wp:posOffset>-457191</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2" name="Group 2"/>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583F2846"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2BB9CA51"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5C9DF22D"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3F0433DB"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616D3738"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445D1A99"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49025D1" w14:textId="77777777" w:rsidR="006E1883" w:rsidRDefault="006E1883">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7" name="Shape 16"/>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8" name="Shape 17"/>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9" name="Shape 18"/>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0" name="Shape 19"/>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21" name="Straight Arrow Connector 2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2F7E31C5"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466F285E"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C203A"/>
    <w:multiLevelType w:val="multilevel"/>
    <w:tmpl w:val="1C52CB6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88335B0"/>
    <w:multiLevelType w:val="multilevel"/>
    <w:tmpl w:val="B07C229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680230"/>
    <w:multiLevelType w:val="multilevel"/>
    <w:tmpl w:val="3796C4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9512B3"/>
    <w:multiLevelType w:val="multilevel"/>
    <w:tmpl w:val="3502F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84E00"/>
    <w:multiLevelType w:val="multilevel"/>
    <w:tmpl w:val="37E23F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32DB"/>
    <w:multiLevelType w:val="multilevel"/>
    <w:tmpl w:val="93FA47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826E7"/>
    <w:multiLevelType w:val="multilevel"/>
    <w:tmpl w:val="6D5CD69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47293"/>
    <w:multiLevelType w:val="multilevel"/>
    <w:tmpl w:val="6B46CC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C53F01"/>
    <w:multiLevelType w:val="multilevel"/>
    <w:tmpl w:val="ACEC45B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FF263E"/>
    <w:multiLevelType w:val="multilevel"/>
    <w:tmpl w:val="A6CEC9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4F599A"/>
    <w:multiLevelType w:val="multilevel"/>
    <w:tmpl w:val="4C9C8FF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1AE71FE"/>
    <w:multiLevelType w:val="multilevel"/>
    <w:tmpl w:val="B712B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4A6506E"/>
    <w:multiLevelType w:val="multilevel"/>
    <w:tmpl w:val="B39E6CE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A45D90"/>
    <w:multiLevelType w:val="multilevel"/>
    <w:tmpl w:val="4A02A1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6129E6"/>
    <w:multiLevelType w:val="multilevel"/>
    <w:tmpl w:val="4992CE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EF0417"/>
    <w:multiLevelType w:val="multilevel"/>
    <w:tmpl w:val="21063D4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D4531C"/>
    <w:multiLevelType w:val="multilevel"/>
    <w:tmpl w:val="4F2A63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0D7E32"/>
    <w:multiLevelType w:val="multilevel"/>
    <w:tmpl w:val="0A20BF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0F619B"/>
    <w:multiLevelType w:val="multilevel"/>
    <w:tmpl w:val="9A1A6BB6"/>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9" w15:restartNumberingAfterBreak="0">
    <w:nsid w:val="557F302C"/>
    <w:multiLevelType w:val="multilevel"/>
    <w:tmpl w:val="88DE28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CC0693"/>
    <w:multiLevelType w:val="multilevel"/>
    <w:tmpl w:val="E25806C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5"/>
  </w:num>
  <w:num w:numId="2">
    <w:abstractNumId w:val="3"/>
  </w:num>
  <w:num w:numId="3">
    <w:abstractNumId w:val="6"/>
  </w:num>
  <w:num w:numId="4">
    <w:abstractNumId w:val="18"/>
  </w:num>
  <w:num w:numId="5">
    <w:abstractNumId w:val="19"/>
  </w:num>
  <w:num w:numId="6">
    <w:abstractNumId w:val="17"/>
  </w:num>
  <w:num w:numId="7">
    <w:abstractNumId w:val="0"/>
  </w:num>
  <w:num w:numId="8">
    <w:abstractNumId w:val="7"/>
  </w:num>
  <w:num w:numId="9">
    <w:abstractNumId w:val="10"/>
  </w:num>
  <w:num w:numId="10">
    <w:abstractNumId w:val="1"/>
  </w:num>
  <w:num w:numId="11">
    <w:abstractNumId w:val="9"/>
  </w:num>
  <w:num w:numId="12">
    <w:abstractNumId w:val="14"/>
  </w:num>
  <w:num w:numId="13">
    <w:abstractNumId w:val="13"/>
  </w:num>
  <w:num w:numId="14">
    <w:abstractNumId w:val="5"/>
  </w:num>
  <w:num w:numId="15">
    <w:abstractNumId w:val="16"/>
  </w:num>
  <w:num w:numId="16">
    <w:abstractNumId w:val="11"/>
  </w:num>
  <w:num w:numId="17">
    <w:abstractNumId w:val="4"/>
  </w:num>
  <w:num w:numId="18">
    <w:abstractNumId w:val="2"/>
  </w:num>
  <w:num w:numId="19">
    <w:abstractNumId w:val="8"/>
  </w:num>
  <w:num w:numId="20">
    <w:abstractNumId w:val="1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883"/>
    <w:rsid w:val="005F078C"/>
    <w:rsid w:val="006E1883"/>
    <w:rsid w:val="00B32E3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34B82D7"/>
  <w15:docId w15:val="{FDCE5C58-9646-7545-9F45-C00680737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0"/>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0.png"/><Relationship Id="rId16" Type="http://schemas.openxmlformats.org/officeDocument/2006/relationships/image" Target="media/image21.png"/><Relationship Id="rId17" Type="http://schemas.openxmlformats.org/officeDocument/2006/relationships/image" Target="media/image22.png"/><Relationship Id="rId18" Type="http://schemas.openxmlformats.org/officeDocument/2006/relationships/image" Target="media/image23.png"/><Relationship Id="rId19" Type="http://schemas.openxmlformats.org/officeDocument/2006/relationships/image" Target="media/image24.png"/><Relationship Id="rId20" Type="http://schemas.openxmlformats.org/officeDocument/2006/relationships/image" Target="media/image25.png"/><Relationship Id="rId21" Type="http://schemas.openxmlformats.org/officeDocument/2006/relationships/image" Target="media/image26.png"/><Relationship Id="rId22" Type="http://schemas.openxmlformats.org/officeDocument/2006/relationships/image" Target="media/image27.png"/><Relationship Id="rId23" Type="http://schemas.openxmlformats.org/officeDocument/2006/relationships/image" Target="media/image28.png"/><Relationship Id="rId24" Type="http://schemas.openxmlformats.org/officeDocument/2006/relationships/image" Target="media/image29.png"/><Relationship Id="rId25" Type="http://schemas.openxmlformats.org/officeDocument/2006/relationships/image" Target="media/image30.png"/><Relationship Id="rId26" Type="http://schemas.openxmlformats.org/officeDocument/2006/relationships/image" Target="media/image31.png"/><Relationship Id="rId27" Type="http://schemas.openxmlformats.org/officeDocument/2006/relationships/image" Target="media/image32.png"/><Relationship Id="rId28" Type="http://schemas.openxmlformats.org/officeDocument/2006/relationships/image" Target="media/image33.png"/><Relationship Id="rId29" Type="http://schemas.openxmlformats.org/officeDocument/2006/relationships/image" Target="media/image34.png"/><Relationship Id="rId30" Type="http://schemas.openxmlformats.org/officeDocument/2006/relationships/image" Target="media/image35.png"/><Relationship Id="rId31" Type="http://schemas.openxmlformats.org/officeDocument/2006/relationships/image" Target="media/image36.png"/><Relationship Id="rId32" Type="http://schemas.openxmlformats.org/officeDocument/2006/relationships/image" Target="media/image37.png"/><Relationship Id="rId33" Type="http://schemas.openxmlformats.org/officeDocument/2006/relationships/image" Target="media/image38.png"/><Relationship Id="rId34" Type="http://schemas.openxmlformats.org/officeDocument/2006/relationships/image" Target="media/image40.png"/><Relationship Id="rId35" Type="http://schemas.openxmlformats.org/officeDocument/2006/relationships/image" Target="media/image41.png"/><Relationship Id="rId36" Type="http://schemas.openxmlformats.org/officeDocument/2006/relationships/image" Target="media/image42.png"/><Relationship Id="rId37" Type="http://schemas.openxmlformats.org/officeDocument/2006/relationships/image" Target="media/image43.png"/><Relationship Id="rId38" Type="http://schemas.openxmlformats.org/officeDocument/2006/relationships/image" Target="media/image39.png"/><Relationship Id="rId39" Type="http://schemas.openxmlformats.org/officeDocument/2006/relationships/image" Target="media/image4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1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2026-09-02T17:51:00Z</dcterms:modified>
</cp:coreProperties>
</file>