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c="http://schemas.openxmlformats.org/markup-compatibility/2006" xmlns:w14="http://schemas.microsoft.com/office/word/2010/wordml" xmlns:wp14="http://schemas.microsoft.com/office/word/2010/wordprocessingDrawing" xmlns:pic="http://schemas.openxmlformats.org/drawingml/2006/picture" xmlns:r="http://schemas.openxmlformats.org/officeDocument/2006/relationships" xmlns:w="http://schemas.openxmlformats.org/wordprocessingml/2006/main" xmlns:wp="http://schemas.openxmlformats.org/drawingml/2006/wordprocessingDrawing" mc:Ignorable="w14 wp14">
  <w:body>
    <w:p>
      <w:pPr>
        <w:pStyle w:val="Heading1"/>
        <w:keepNext/>
        <w:spacing w:before="280" w:after="120"/>
        <w:jc w:val="left"/>
      </w:pPr>
      <w:r>
        <w:rPr>
          <w:rFonts w:ascii="Times New Roman" w:hAnsi="Times New Roman"/>
          <w:b/>
          <w:i w:val="0"/>
          <w:color w:val="000000"/>
          <w:sz w:val="30"/>
        </w:rPr>
        <w:t>1. Mô tả quy trình</w:t>
      </w:r>
    </w:p>
    <w:p>
      <w:pPr>
        <w:keepNext/>
        <w:spacing w:before="200" w:after="80"/>
        <w:jc w:val="left"/>
      </w:pPr>
      <w:r>
        <w:rPr>
          <w:rFonts w:ascii="Times New Roman" w:hAnsi="Times New Roman"/>
          <w:b/>
          <w:i w:val="0"/>
          <w:color w:val="000000"/>
          <w:sz w:val="22"/>
        </w:rPr>
        <w:t>Bảng 1.1: Thông tin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Thuộc tính</w:t>
            </w:r>
          </w:p>
        </w:tc>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Thông tin chi tiết</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Tên quy trình</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trình tiếp nhận đơn hàng</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vị chủ quản và các bên tham gia</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Chủ trì: Kênh tiếp nhận/Nhân viên và Hệ thống OMS/API; phối hợp: Khách hàng/Đối tác và CSKH/Xử lý ngoại lệ; đầu ra phục vụ Bộ phận nhận hàng/Thu gom.</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Sự kiện bắt đầu</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hàng/Đối tác gửi yêu cầu tạo đơn qua website, ứng dụng ViettelPost, Open API hoặc tại điểm giao dịch.</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Đối tượng khách hàng của quy trình</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hàng/Đối tác nhận mã vận đơn;</w:t>
              <w:br/>
              <w:t>Bộ phận nhận hàng/Thu gom sử dụng mã để đối chiếu khi tiếp nhận bưu gửi vật lý.</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Mục tiêu của quy trình</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yêu cầu tạo đơn, kiểm tra và chuẩn hóa dữ liệu, ghi nhận đơn, tạo mã vận đơn và gửi xác nhận để chuyển sang bước nhận bưu gửi. Các số liệu trong Chương 4 được tính thống nhất theo bộ tham số và công thức của kỳ phân tích.</w:t>
            </w:r>
          </w:p>
        </w:tc>
      </w:tr>
    </w:tbl>
    <w:p>
      <w:pPr>
        <w:pStyle w:val="Heading2"/>
        <w:keepNext/>
        <w:spacing w:before="220" w:after="80"/>
        <w:jc w:val="left"/>
      </w:pPr>
      <w:r>
        <w:rPr>
          <w:rFonts w:ascii="Times New Roman" w:hAnsi="Times New Roman"/>
          <w:b/>
          <w:i w:val="0"/>
          <w:color w:val="000000"/>
          <w:sz w:val="27"/>
        </w:rPr>
        <w:t>1.1. Kiến trúc quy trình</w:t>
      </w:r>
    </w:p>
    <w:p>
      <w:pPr>
        <w:spacing w:before="0" w:after="120" w:line="300" w:lineRule="auto"/>
        <w:jc w:val="both"/>
      </w:pPr>
      <w:r>
        <w:rPr>
          <w:rFonts w:ascii="Times New Roman" w:hAnsi="Times New Roman"/>
          <w:color w:val="000000"/>
          <w:sz w:val="24"/>
        </w:rPr>
        <w:t>Sơ đồ kiến trúc quy trình thể hiện tuần tự các khối công đoạn chính trong quy trình tiếp nhận đơn hàng và vị trí của quy trình trong chuỗi cung ứng dịch vụ chuyển phát.</w:t>
      </w:r>
    </w:p>
    <w:p>
      <w:pPr>
        <w:keepNext/>
        <w:spacing w:before="160" w:after="40"/>
        <w:jc w:val="center"/>
      </w:pPr>
      <w:r>
        <w:drawing>
          <wp:inline>
            <wp:extent cx="5669280" cy="720671"/>
            <wp:docPr id="1" name="Picture 1"/>
            <wp:cNvGraphicFramePr>
              <a:graphicFrameLocks noChangeAspect="1"/>
            </wp:cNvGraphicFramePr>
            <a:graphic>
              <a:graphicData uri="http://schemas.openxmlformats.org/drawingml/2006/picture">
                <pic:pic>
                  <pic:nvPicPr>
                    <pic:cNvPr id="0" name="chevron.png"/>
                    <pic:cNvPicPr/>
                  </pic:nvPicPr>
                  <pic:blipFill>
                    <a:blip r:embed="rId9"/>
                    <a:stretch>
                      <a:fillRect/>
                    </a:stretch>
                  </pic:blipFill>
                  <pic:spPr>
                    <a:xfrm>
                      <a:off x="0" y="0"/>
                      <a:ext cx="5669280" cy="720671"/>
                    </a:xfrm>
                    <a:prstGeom prst="rect"/>
                  </pic:spPr>
                </pic:pic>
              </a:graphicData>
            </a:graphic>
          </wp:inline>
        </w:drawing>
      </w:r>
    </w:p>
    <w:p>
      <w:pPr>
        <w:spacing w:before="80" w:after="240"/>
        <w:jc w:val="center"/>
      </w:pPr>
      <w:r>
        <w:rPr>
          <w:rFonts w:ascii="Times New Roman" w:hAnsi="Times New Roman"/>
          <w:b/>
          <w:i w:val="0"/>
          <w:color w:val="000000"/>
          <w:sz w:val="22"/>
        </w:rPr>
        <w:t>Hình 1.1: Sơ đồ kiến trúc quy trình</w:t>
      </w:r>
    </w:p>
    <w:p>
      <w:pPr>
        <w:pStyle w:val="Heading2"/>
        <w:keepNext/>
        <w:spacing w:before="220" w:after="80"/>
        <w:jc w:val="left"/>
      </w:pPr>
      <w:r>
        <w:rPr>
          <w:rFonts w:ascii="Times New Roman" w:hAnsi="Times New Roman"/>
          <w:b/>
          <w:i w:val="0"/>
          <w:color w:val="000000"/>
          <w:sz w:val="27"/>
        </w:rPr>
        <w:t>1.2. Các bước thực hiện</w:t>
      </w:r>
    </w:p>
    <w:p>
      <w:pPr>
        <w:keepNext/>
        <w:spacing w:before="200" w:after="80"/>
        <w:jc w:val="left"/>
      </w:pPr>
      <w:r>
        <w:rPr>
          <w:rFonts w:ascii="Times New Roman" w:hAnsi="Times New Roman"/>
          <w:b/>
          <w:i w:val="0"/>
          <w:color w:val="000000"/>
          <w:sz w:val="22"/>
        </w:rPr>
        <w:t>Bảng 1.2: Các bước của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Bước</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bước</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nhân thực hiện</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thông tin người gửi/người nhận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Đối tác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Nhập họ tên, số điện thoại và địa chỉ người gửi/người nhận.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Khai hàng hóa, COD và chọn dịch vụ</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Đối tác</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Nhập hàng hóa, giá trị, khối lượng, kích thước, COD, ghi chú và chọn dịch vụ.</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yêu cầu tạo đơn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tiếp nhận / Nhân viên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từ website, ứng dụng, Open API hoặc quầy giao dịch và chuyển vào OMS/API.</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trường bắt buộc và định dạng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dữ liệu bắt buộc, số điện thoại, địa chỉ, hàng hóa, COD, khối lượng và dịch vụ.</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địa chỉ và dữ liệu</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địa chỉ theo danh mục hành chính và kiểm tra sự phù hợp với dịch vụ.</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6</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Sửa/bổ sung thông tin nếu cần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Đối tác / CSKH / Xử lý ngoại lệ</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Nếu không hợp lệ, gửi yêu cầu bổ sung; khách hàng sửa và gửi lại hoặc dừng yêu cầu.</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7</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đơn điện tử</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bản ghi đơn điện tử khi dữ liệu đã hợp lệ.</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Bước 8</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Khởi tạo mã vận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Sinh mã vận đơn duy nhất và cập nhật trạng thái tạo đơn.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Bước 9</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thông báo xác nhận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tiếp nhận / Nhân viên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mã vận đơn, dịch vụ, cước phí và trạng thái; chuyển sang nhận bưu gửi.</w:t>
            </w:r>
          </w:p>
        </w:tc>
      </w:tr>
    </w:tbl>
    <w:p>
      <w:pPr>
        <w:pStyle w:val="Heading2"/>
        <w:keepNext/>
        <w:spacing w:before="220" w:after="80"/>
        <w:jc w:val="left"/>
      </w:pPr>
      <w:r>
        <w:rPr>
          <w:rFonts w:ascii="Times New Roman" w:hAnsi="Times New Roman"/>
          <w:b/>
          <w:i w:val="0"/>
          <w:color w:val="000000"/>
          <w:sz w:val="27"/>
        </w:rPr>
        <w:t>1.3. Các kết quả có thể xảy ra</w:t>
      </w:r>
    </w:p>
    <w:p>
      <w:pPr>
        <w:keepNext/>
        <w:spacing w:before="200" w:after="80"/>
        <w:jc w:val="left"/>
      </w:pPr>
      <w:r>
        <w:rPr>
          <w:rFonts w:ascii="Times New Roman" w:hAnsi="Times New Roman"/>
          <w:b/>
          <w:i w:val="0"/>
          <w:color w:val="000000"/>
          <w:sz w:val="22"/>
        </w:rPr>
        <w:t>Bảng 1.3: Các kết quả có thể xảy ra</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Nhóm kết quả</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 cụ thể</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 và kịch bản kết thúc quy trình</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Tích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hợp lệ được ghi nhận và xác nhận</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ghi nhận đơn, tạo mã vận đơn và kênh tiếp nhận gửi xác nhận cho khách hàng/đối tác.</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Tích cực</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được chuyển sang nhận bưu gửi</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Đơn đã có mã vận đơn và được chuyển sang bước nhận bưu gửi/khai thác tiếp theo.</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cần bổ sung thông tin</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Dữ liệu người gửi, người nhận, hàng hóa, COD hoặc dịch vụ chưa đầy đủ; yêu cầu được trả lại để bổ sung.</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Lỗi kỹ thuật hoặc tạo mã không thành công</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Hệ thống không hoàn tất ghi nhận hoặc khởi tạo mã; yêu cầu được chuyển sang bộ phận xử lý ngoại lệ để kiểm tra và khắc phục.</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Tiêu cực</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bị hủy hoặc đóng hồ sơ</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dừng thao tác, không bổ sung thông tin hoặc yêu cầu hết thời hạn xử lý; đơn không được tạo mã vận đơn.</w:t>
            </w:r>
          </w:p>
        </w:tc>
      </w:tr>
    </w:tbl>
    <w:p>
      <w:pPr>
        <w:pStyle w:val="Heading1"/>
        <w:keepNext/>
        <w:spacing w:before="280" w:after="120"/>
        <w:jc w:val="left"/>
      </w:pPr>
      <w:r>
        <w:rPr>
          <w:rFonts w:ascii="Times New Roman" w:hAnsi="Times New Roman"/>
          <w:b/>
          <w:i w:val="0"/>
          <w:color w:val="000000"/>
          <w:sz w:val="30"/>
        </w:rPr>
        <w:t>2. Phương pháp thực hiện</w:t>
      </w:r>
    </w:p>
    <w:p>
      <w:pPr>
        <w:pStyle w:val="Heading2"/>
        <w:keepNext/>
        <w:spacing w:before="220" w:after="80"/>
        <w:jc w:val="left"/>
      </w:pPr>
      <w:r>
        <w:rPr>
          <w:rFonts w:ascii="Times New Roman" w:hAnsi="Times New Roman"/>
          <w:b/>
          <w:i w:val="0"/>
          <w:color w:val="000000"/>
          <w:sz w:val="27"/>
        </w:rPr>
        <w:t>2.1. Dựa trên bằng chứng</w:t>
      </w:r>
    </w:p>
    <w:p>
      <w:pPr>
        <w:keepNext/>
        <w:spacing w:before="200" w:after="80"/>
        <w:jc w:val="left"/>
      </w:pPr>
      <w:r>
        <w:rPr>
          <w:rFonts w:ascii="Times New Roman" w:hAnsi="Times New Roman"/>
          <w:b/>
          <w:i w:val="0"/>
          <w:color w:val="000000"/>
          <w:sz w:val="22"/>
        </w:rPr>
        <w:t>Bảng 2.1: Danh mục tài liệu và minh chứng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minh chứng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tài liệu / Văn bản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tài liệu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Cơ quan / Đơn vị ban hành</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đích sử dụng trong quy trình</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Sơ đồ cơ cấu tổ chức và ma trận phân công trách nhiệm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Tài liệu tổ chức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vị vận hành dịch vụ bưu chính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năm nhóm tác nhân tham gia tiếp nhận đơn và trách nhiệm tương ứng trên từng phân làn.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Kế hoạch làm việc, lịch phân công và bảng phân bổ nhiệm vụ</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Tài liệu nghiệp vụ</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Bộ phận tiếp nhận và điều phối đơn hàng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kênh tiếp nhận, thời điểm xử lý, đầu ra của từng bước và cách chuyển đơn sang nhận bưu gửi.</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Hướng dẫn tạo đơn, danh mục dịch vụ và thông tin khách hàng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Tài liệu nghiệp vụ và nguồn công khai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Viettel Post và các kênh cung cấp dịch vụ</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Làm rõ trường thông tin người gửi, người nhận, hàng hóa, COD, dịch vụ, mã vận đơn và thông báo xác nhận.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MC-04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Luật Bưu chính, BPMN 2.0.2 và tài liệu học phần IE203</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Văn bản pháp lý, chuẩn mô hình hóa và giáo trình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quan quản lý nhà nước, OMG và IE203</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Làm căn cứ cho nghĩa vụ cung cấp dịch vụ, ký hiệu BPMN, phương pháp VAA, Waste, 5 Why và phân tích định lượng.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MC-05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Biểu mẫu tạo đơn, dữ liệu OMS/API, thông báo, phiếu bàn giao và hồ sơ xử lý ngoại lệ</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Biểu mẫu và dữ liệu vận hành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tiếp nhận, OMS/API, CSKH và bộ phận nhận hàng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Theo dõi dữ liệu đầu vào, trạng thái xử lý, mã vận đơn, kết quả xác nhận và thông tin chuyển tiếp sang công đoạn sau.</w:t>
            </w:r>
          </w:p>
        </w:tc>
      </w:tr>
    </w:tbl>
    <w:p>
      <w:pPr>
        <w:pStyle w:val="Heading3"/>
        <w:keepNext/>
        <w:spacing w:before="160" w:after="60"/>
        <w:jc w:val="left"/>
      </w:pPr>
      <w:r>
        <w:rPr>
          <w:rFonts w:ascii="Times New Roman" w:hAnsi="Times New Roman"/>
          <w:b/>
          <w:i w:val="0"/>
          <w:color w:val="000000"/>
          <w:sz w:val="25"/>
        </w:rPr>
        <w:t>2.1.1. Sơ đồ tổ chức</w:t>
      </w:r>
    </w:p>
    <w:p>
      <w:pPr>
        <w:spacing w:before="0" w:after="120" w:line="300" w:lineRule="auto"/>
        <w:jc w:val="both"/>
      </w:pPr>
      <w:r>
        <w:rPr>
          <w:rFonts w:ascii="Times New Roman" w:hAnsi="Times New Roman"/>
          <w:color w:val="000000"/>
          <w:sz w:val="24"/>
        </w:rPr>
        <w:t>Sơ đồ cơ cấu tổ chức phân cấp các nhóm tác nhân, bộ phận và vị trí chức danh trực tiếp tham gia vận hành quy trình tiếp nhận đơn hàng.</w:t>
      </w:r>
    </w:p>
    <w:p>
      <w:pPr>
        <w:keepNext/>
        <w:spacing w:before="160" w:after="40"/>
        <w:jc w:val="center"/>
      </w:pPr>
      <w:r>
        <w:drawing>
          <wp:inline>
            <wp:extent cx="5669280" cy="2040941"/>
            <wp:docPr id="2" name="Picture 2"/>
            <wp:cNvGraphicFramePr>
              <a:graphicFrameLocks noChangeAspect="1"/>
            </wp:cNvGraphicFramePr>
            <a:graphic>
              <a:graphicData uri="http://schemas.openxmlformats.org/drawingml/2006/picture">
                <pic:pic>
                  <pic:nvPicPr>
                    <pic:cNvPr id="0" name="org_chart.png"/>
                    <pic:cNvPicPr/>
                  </pic:nvPicPr>
                  <pic:blipFill>
                    <a:blip r:embed="rId10"/>
                    <a:stretch>
                      <a:fillRect/>
                    </a:stretch>
                  </pic:blipFill>
                  <pic:spPr>
                    <a:xfrm>
                      <a:off x="0" y="0"/>
                      <a:ext cx="5669280" cy="2040941"/>
                    </a:xfrm>
                    <a:prstGeom prst="rect"/>
                  </pic:spPr>
                </pic:pic>
              </a:graphicData>
            </a:graphic>
          </wp:inline>
        </w:drawing>
      </w:r>
    </w:p>
    <w:p>
      <w:pPr>
        <w:spacing w:before="80" w:after="240"/>
        <w:jc w:val="center"/>
      </w:pPr>
      <w:r>
        <w:rPr>
          <w:rFonts w:ascii="Times New Roman" w:hAnsi="Times New Roman"/>
          <w:b/>
          <w:i w:val="0"/>
          <w:color w:val="000000"/>
          <w:sz w:val="22"/>
        </w:rPr>
        <w:t>Hình 2.1: Sơ đồ tổ chức bộ phận thực hiện quy trình tiếp nhận đơn hàng</w:t>
      </w:r>
    </w:p>
    <w:p>
      <w:pPr>
        <w:pStyle w:val="Heading3"/>
        <w:keepNext/>
        <w:spacing w:before="160" w:after="60"/>
        <w:jc w:val="left"/>
      </w:pPr>
      <w:r>
        <w:rPr>
          <w:rFonts w:ascii="Times New Roman" w:hAnsi="Times New Roman"/>
          <w:b/>
          <w:i w:val="0"/>
          <w:color w:val="000000"/>
          <w:sz w:val="25"/>
        </w:rPr>
        <w:t>2.1.2. Kế hoạch làm việc</w:t>
      </w:r>
    </w:p>
    <w:p>
      <w:pPr>
        <w:spacing w:before="0" w:after="120" w:line="300" w:lineRule="auto"/>
        <w:jc w:val="both"/>
      </w:pPr>
      <w:r>
        <w:rPr>
          <w:rFonts w:ascii="Times New Roman" w:hAnsi="Times New Roman"/>
          <w:color w:val="000000"/>
          <w:sz w:val="24"/>
        </w:rPr>
        <w:t>Kế hoạch làm việc, lịch phân công ca trực và bảng phân bổ nhiệm vụ thể hiện cách các nhóm tác nhân tiếp nhận, xử lý, xác nhận và chuyển giao đơn hàng trong từng khoảng thời gian.</w:t>
      </w:r>
    </w:p>
    <w:p>
      <w:pPr>
        <w:keepNext/>
        <w:spacing w:before="160" w:after="40"/>
        <w:jc w:val="center"/>
      </w:pPr>
      <w:r>
        <w:drawing>
          <wp:inline>
            <wp:extent cx="5669280" cy="1958479"/>
            <wp:docPr id="3" name="Picture 3"/>
            <wp:cNvGraphicFramePr>
              <a:graphicFrameLocks noChangeAspect="1"/>
            </wp:cNvGraphicFramePr>
            <a:graphic>
              <a:graphicData uri="http://schemas.openxmlformats.org/drawingml/2006/picture">
                <pic:pic>
                  <pic:nvPicPr>
                    <pic:cNvPr id="0" name="schedule.png"/>
                    <pic:cNvPicPr/>
                  </pic:nvPicPr>
                  <pic:blipFill>
                    <a:blip r:embed="rId11"/>
                    <a:stretch>
                      <a:fillRect/>
                    </a:stretch>
                  </pic:blipFill>
                  <pic:spPr>
                    <a:xfrm>
                      <a:off x="0" y="0"/>
                      <a:ext cx="5669280" cy="1958479"/>
                    </a:xfrm>
                    <a:prstGeom prst="rect"/>
                  </pic:spPr>
                </pic:pic>
              </a:graphicData>
            </a:graphic>
          </wp:inline>
        </w:drawing>
      </w:r>
    </w:p>
    <w:p>
      <w:pPr>
        <w:spacing w:before="80" w:after="240"/>
        <w:jc w:val="center"/>
      </w:pPr>
      <w:r>
        <w:rPr>
          <w:rFonts w:ascii="Times New Roman" w:hAnsi="Times New Roman"/>
          <w:b/>
          <w:i w:val="0"/>
          <w:color w:val="000000"/>
          <w:sz w:val="22"/>
        </w:rPr>
        <w:t>Hình 2.2: Kế hoạch làm việc và phân bổ nhiệm vụ trong quy trình</w:t>
      </w:r>
    </w:p>
    <w:p>
      <w:pPr>
        <w:pStyle w:val="Heading3"/>
        <w:keepNext/>
        <w:spacing w:before="160" w:after="60"/>
        <w:jc w:val="left"/>
      </w:pPr>
      <w:r>
        <w:rPr>
          <w:rFonts w:ascii="Times New Roman" w:hAnsi="Times New Roman"/>
          <w:b/>
          <w:i w:val="0"/>
          <w:color w:val="000000"/>
          <w:sz w:val="25"/>
        </w:rPr>
        <w:t>2.1.3. Thuật ngữ và sổ tay</w:t>
      </w:r>
    </w:p>
    <w:p>
      <w:pPr>
        <w:spacing w:before="0" w:after="120" w:line="300" w:lineRule="auto"/>
        <w:jc w:val="both"/>
      </w:pPr>
      <w:r>
        <w:rPr>
          <w:rFonts w:ascii="Times New Roman" w:hAnsi="Times New Roman"/>
          <w:color w:val="000000"/>
          <w:sz w:val="24"/>
        </w:rPr>
        <w:t>Hệ thống thuật ngữ chuyên môn và các quy chuẩn nghiệp vụ được chuẩn hóa nhằm bảo đảm tính thống nhất trong quá trình tiếp nhận, kiểm tra dữ liệu và đánh giá hiệu năng quy trình. Chi tiết định nghĩa các thuật ngữ kỹ thuật, chỉ số đo lường và khung phân tích lãng phí được tổng hợp tại Bảng 2.2, gắn liền với các tài liệu quy chuẩn và sổ tay nghiệp vụ đã liệt kê tại Bảng 2.1.</w:t>
      </w:r>
    </w:p>
    <w:p>
      <w:pPr>
        <w:keepNext/>
        <w:spacing w:before="200" w:after="80"/>
        <w:jc w:val="left"/>
      </w:pPr>
      <w:r>
        <w:rPr>
          <w:rFonts w:ascii="Times New Roman" w:hAnsi="Times New Roman"/>
          <w:b/>
          <w:i w:val="0"/>
          <w:color w:val="000000"/>
          <w:sz w:val="22"/>
        </w:rPr>
        <w:t>Bảng 2.2: Thuật ngữ và sổ tay của quy trình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Thuật ngữ</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đầy đủ tiếng Anh</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Giải thích ý nghĩa nghiệp vụ</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Tài liệu quy chuẩn / Sổ tay áp dụng</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OMS/API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Order Management System / Application Programming Interface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tiếp nhận, kiểm tra, chuẩn hóa và ghi nhận đơn.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tả quy trình; cần đối soát contract</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Order Intake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Order Intake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Phạm vi từ nhận yêu cầu tạo đơn đến gửi xác nhận.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Tên phạm vi của tài liệu</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Bưu gửi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Postal item / Shipment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tượng vật lý được nhận sau khi đơn điện tử hợp lệ.</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tả quy trình; quy trình nhận hàng kế tiếp</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Mã vận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Waybill / Tracking number</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Mã định danh để tra cứu và đối chiếu bưu gửi.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Mô tả quy trình; cần xác nhận policy</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COD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Cash on Delivery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Giá trị tiền thu hộ gắn với bưu gửi.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Mô tả quy trình; cần đối chiếu bảng giá</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Dịch vụ</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Delivery service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Loại dịch vụ chuyển phát được chọn khi tạo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Danh mục dịch vụ; cần snapshot</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Trường bắt buộc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Required field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tin phải có trước khi OMS/API ghi nhận đơn.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Validation contract từng kênh</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Định dạng dữ liệu</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Data format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Kiểu, độ dài và mẫu hợp lệ của dữ liệu đầu vào.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Validation rule từng kênh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Validation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Validation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bắt buộc, định dạng và quan hệ giữa các trường.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task và rule kiểm tra</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Chuẩn hóa địa chỉ</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Address normalization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Đưa địa chỉ về dạng chuẩn để kiểm tra dịch vụ.</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Master data hành chính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Danh mục hành chính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Administrative master data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Dữ liệu tỉnh/thành, quận/huyện, phường/xã.</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Nguồn master data cần cung cấp</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Ghi nhận đơn điện tử</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Electronic order creation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Tạo bản ghi đơn sau khi dữ liệu được chấp nhận.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Event log OMS</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Duplicate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Duplicate order</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Một yêu cầu tạo nhiều bản ghi do gửi lại hoặc retry.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Transaction log và idempotency key</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Idempotency</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Idempotency</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Gửi lại cùng yêu cầu không tạo thêm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API contract và error policy</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Retry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Retry</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lại thao tác sau lỗi tạm thời theo điều kiện rõ.</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Error policy và observability</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Error handling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Error handling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loại, hiển thị và chuyển xử lý lỗi.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Mã lỗi và escalation rule</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CSKH</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Customer Service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Đầu mối hỗ trợ khi khách hàng không tự sửa được.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RACI và quy trình ngoại lệ</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Queue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Work queue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Hàng đợi yêu cầu chờ bổ sung hoặc xử lý ngoại lệ.</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Queue log và dashboard</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SLA</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Service Level Agreement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hạn phản hồi hoặc hoàn tất trạng thái chờ.</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SLA policy cần xác nhận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Trạng thái đơn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Order status</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Giá trị biểu diễn tiến độ từ nhận yêu cầu đến tạo mã.</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Status dictionary OMS</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Participant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participant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Bên hoặc pool tham gia trao đổi trong BPMN.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2.0.2 và sơ đồ quy trình</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Lane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BPMN lane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Phân vùng trách nhiệm actor hoặc hệ thống.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BPMN 2.0.2 và actor mapping</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Sequence flow / Message flow</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sequence flow / message flow</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Sequence flow nối flow node; message flow nối participant.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BPMN 2.0.2 và DI validation</w:t>
            </w:r>
          </w:p>
        </w:tc>
      </w:tr>
    </w:tbl>
    <w:p>
      <w:pPr>
        <w:pStyle w:val="Heading3"/>
        <w:keepNext/>
        <w:spacing w:before="160" w:after="60"/>
        <w:jc w:val="left"/>
      </w:pPr>
      <w:r>
        <w:rPr>
          <w:rFonts w:ascii="Times New Roman" w:hAnsi="Times New Roman"/>
          <w:b/>
          <w:i w:val="0"/>
          <w:color w:val="000000"/>
          <w:sz w:val="25"/>
        </w:rPr>
        <w:t>2.1.4. Biểu mẫu nghiệp vụ</w:t>
      </w:r>
    </w:p>
    <w:p>
      <w:pPr>
        <w:spacing w:before="0" w:after="120" w:line="300" w:lineRule="auto"/>
        <w:jc w:val="both"/>
      </w:pPr>
      <w:r>
        <w:rPr>
          <w:rFonts w:ascii="Times New Roman" w:hAnsi="Times New Roman"/>
          <w:color w:val="000000"/>
          <w:sz w:val="24"/>
        </w:rPr>
        <w:t>Trong quá trình vận hành quy trình tiếp nhận đơn hàng, hệ thống biểu mẫu nghiệp vụ là phương tiện thu thập thông tin, kiểm soát dữ liệu và chuyển giao kết quả giữa các bên. Danh mục biểu mẫu gồm yêu cầu tạo đơn, phiếu hoặc dữ liệu bổ sung, thông báo lỗi, thông báo xác nhận và thông tin bàn giao mã vận đơn; mục đích sử dụng của từng loại được trình bày thống nhất theo các bước tác nghiệp tại Bảng 1.2 và Bảng 2.1.</w:t>
      </w:r>
    </w:p>
    <w:p>
      <w:pPr>
        <w:pStyle w:val="Heading2"/>
        <w:keepNext/>
        <w:spacing w:before="220" w:after="80"/>
        <w:jc w:val="left"/>
      </w:pPr>
      <w:r>
        <w:rPr>
          <w:rFonts w:ascii="Times New Roman" w:hAnsi="Times New Roman"/>
          <w:b/>
          <w:i w:val="0"/>
          <w:color w:val="000000"/>
          <w:sz w:val="27"/>
        </w:rPr>
        <w:t>2.2. Phỏng vấn</w:t>
      </w:r>
    </w:p>
    <w:p>
      <w:pPr>
        <w:spacing w:before="0" w:after="120" w:line="300" w:lineRule="auto"/>
        <w:jc w:val="both"/>
      </w:pPr>
      <w:r>
        <w:rPr>
          <w:rFonts w:ascii="Times New Roman" w:hAnsi="Times New Roman"/>
          <w:color w:val="000000"/>
          <w:sz w:val="24"/>
        </w:rPr>
        <w:t>Theo phương pháp luận khai phá quy trình của Dumas et al. (2018, Chương 5), phỏng vấn là công cụ nền tảng để thu thập tri thức nghiệp vụ, nhận diện quy tắc xử lý ngầm định, trường hợp ngoại lệ và các sự cố không thể hiện đầy đủ trong tài liệu tĩnh. Nội dung phỏng vấn được xây dựng theo ma trận năm nhóm tác nhân gồm Khách hàng/Đối tác, Kênh tiếp nhận/Nhân viên, Hệ thống OMS/API, CSKH/Xử lý ngoại lệ và Bộ phận nhận hàng/Thu gom; Bảng 2.3 thể hiện đối chiếu 1:1 giữa tác nhân, phân làn BPMN và chức danh tham gia trao đổi.</w:t>
      </w:r>
    </w:p>
    <w:p>
      <w:pPr>
        <w:keepNext/>
        <w:spacing w:before="200" w:after="80"/>
        <w:jc w:val="left"/>
      </w:pPr>
      <w:r>
        <w:rPr>
          <w:rFonts w:ascii="Times New Roman" w:hAnsi="Times New Roman"/>
          <w:b/>
          <w:i w:val="0"/>
          <w:color w:val="000000"/>
          <w:sz w:val="22"/>
        </w:rPr>
        <w:t>Bảng 2.3: Đối chiếu actor, BPMN và đối tượng phỏng vấn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nhân trong mô tả quy trình</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Phân làn tương ứng trên BPMN</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Chức danh đối tượng phỏng vấn thực tế</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Đối tác</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Participant bên ngoài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Người gửi/đối tác tạo đơn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 Nhân viên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Lane Intake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Nhân viên/quản trị kênh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Lane OMS</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Owner OMS/API</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CSKH / Xử lý ngoại lệ</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Lane Exception</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Nhân viên CSKH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nhận hàng / Thu gom</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nội bộ</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Nhân viên nhận hàng</w:t>
            </w:r>
          </w:p>
        </w:tc>
      </w:tr>
    </w:tbl>
    <w:p>
      <w:pPr>
        <w:pStyle w:val="Heading3"/>
        <w:keepNext/>
        <w:spacing w:before="160" w:after="60"/>
        <w:jc w:val="left"/>
      </w:pPr>
      <w:r>
        <w:rPr>
          <w:rFonts w:ascii="Times New Roman" w:hAnsi="Times New Roman"/>
          <w:b/>
          <w:i w:val="0"/>
          <w:color w:val="000000"/>
          <w:sz w:val="25"/>
        </w:rPr>
        <w:t>2.2.1. Câu hỏi định tính</w:t>
      </w:r>
    </w:p>
    <w:p>
      <w:pPr>
        <w:spacing w:before="0" w:after="120" w:line="300" w:lineRule="auto"/>
        <w:jc w:val="both"/>
      </w:pPr>
      <w:r>
        <w:rPr>
          <w:rFonts w:ascii="Times New Roman" w:hAnsi="Times New Roman"/>
          <w:color w:val="000000"/>
          <w:sz w:val="24"/>
        </w:rPr>
        <w:t>Phương pháp phỏng vấn định tính được thiết kế theo cấu trúc hai tầng gồm 10 câu hỏi có cấu trúc và 10 câu hỏi mở, tập trung vào điều kiện tạo đơn, trường dữ liệu bắt buộc, cách xử lý lỗi, vòng bổ sung, bàn giao mã vận đơn và các điểm nghẽn trong trải nghiệm khách hàng.</w:t>
      </w:r>
    </w:p>
    <w:p>
      <w:pPr>
        <w:keepNext/>
        <w:spacing w:before="200" w:after="80"/>
        <w:jc w:val="left"/>
      </w:pPr>
      <w:r>
        <w:rPr>
          <w:rFonts w:ascii="Times New Roman" w:hAnsi="Times New Roman"/>
          <w:b/>
          <w:i w:val="0"/>
          <w:color w:val="000000"/>
          <w:sz w:val="22"/>
        </w:rPr>
        <w:t>Bảng 2.4: Danh sách câu hỏi định tính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câu hỏi</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Nội dung câu hỏi định tính</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áp dụng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xác nhận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Những trường nào bắt buộc ở từng kênh tạo đơn?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chiếu rule Web/App/API/Quầy.</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Điều kiện nào làm hệ thống yêu cầu bổ sung?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Kênh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nhận điều kiện gateway dữ liệu hợp lệ.</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Khi nào lỗi được retry và khi nào chuyển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nhận error class, retry và escalation.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Mã vận đơn được tạo và chống trùng như thế nào?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nhận owner, uniqueness và idempotency.</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Trạng thái nào chuyển đơn sang nhận bưu gửi?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Thu gom</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nhận output contract và handoff.</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thường gặp khó khăn gì khi nhập dữ liệu?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Kênh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Tìm nguyên nhân UX và dữ liệu.</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QT-07</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Ngoại lệ nào chưa được thể hiện trên sơ đồ?</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Tìm hidden work và nhánh thiếu.</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QT-08</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Bước nào thường phải làm lại hoặc kiểm tra lại?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Xác định Waste và NVA.</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QT-09</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báo lỗi có đủ rõ để người dùng tự sửa không?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Kênh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feedback loop.</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QT-10</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Giải pháp nào giảm thời gian chờ và vòng bổ sung?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Tất cả actor</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Thu thập cải tiến khả thi.</w:t>
            </w:r>
          </w:p>
        </w:tc>
      </w:tr>
    </w:tbl>
    <w:p>
      <w:pPr>
        <w:keepNext/>
        <w:spacing w:before="200" w:after="80"/>
        <w:jc w:val="left"/>
      </w:pPr>
      <w:r>
        <w:rPr>
          <w:rFonts w:ascii="Times New Roman" w:hAnsi="Times New Roman"/>
          <w:b/>
          <w:i w:val="0"/>
          <w:color w:val="000000"/>
          <w:sz w:val="22"/>
        </w:rPr>
        <w:t>Bảng 2.5: Ghi nhận câu trả lời cho câu hỏi định tính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134"/>
        <w:gridCol w:w="1134"/>
        <w:gridCol w:w="1134"/>
        <w:gridCol w:w="1134"/>
        <w:gridCol w:w="1134"/>
        <w:gridCol w:w="1134"/>
        <w:gridCol w:w="1134"/>
        <w:gridCol w:w="1134"/>
      </w:tblGrid>
      <w:tr>
        <w:trPr>
          <w:cantSplit/>
          <w:tblHeader/>
        </w:trPr>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 câu hỏi</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A</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B</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C</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trả lời định hướng</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 thuyết phân tích</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Điểm cần làm rõ</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Minh chứng cần đối chiếu</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QT-01</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Mỗi kênh tự quy định trường bắt buộc</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kênh dùng bộ quy tắc chung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Kết hợp quy tắc chung và trường riêng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kênh nên dùng danh mục trường và phiên bản kiểm tra thống nhất.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tắc chung giúp giảm sai khác giữa Web, App, API và quầy.</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trường riêng theo loại dịch vụ và thời điểm áp dụng.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Hướng dẫn tạo đơn, danh mục trường và lịch sử lỗi.</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QT-02</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Trả lại toàn bộ yêu cầu</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Trả lại đúng trường lỗi</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Nhân viên bổ sung thủ công</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Thông báo cần chỉ rõ trường lỗi và giữ lại dữ liệu đã hợp lệ.</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Phản hồi theo trường làm giảm số vòng sửa.</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Cách xử lý khi lỗi liên quan nhiều trường.</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Màn hình thông báo, phiếu bổ sung và trao đổi với kênh.</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QT-03</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Retry tự động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Chuyển CSKH</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Kết hợp theo nhóm lỗi</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tạm thời được retry có kiểm soát; lỗi nghiệp vụ chuyển về kênh hoặc CSKH.</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loại lỗi rõ giúp tránh tạo trùng đơn.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Số lần retry, thời gian chờ và điều kiện đóng yêu cầu.</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Quy định xử lý lỗi, lịch sử giao dịch và ticket.</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QT-04</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tạo mã</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tạo mã</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tạo mã sau khi kênh chuyển yêu cầu</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là đầu mối ghi nhận và sinh mã vận đơn duy nhất.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Một đầu mối tạo mã giúp bảo đảm tính duy nhất.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Cơ chế chống trùng khi gửi lại cùng yêu cầu.</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Thông tin mã vận đơn, lịch sử giao dịch và hướng dẫn API.</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QT-05</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Chuyển thủ công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Chuyển tự động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Chuyển theo trạng thái đã xác nhận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có mã và trạng thái xác nhận được chuyển sang nhận bưu gửi.</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Trạng thái rõ ràng làm giảm khoảng trống bàn giao.</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Tên trạng thái, thời điểm chuyển và đơn vị nhận.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báo xác nhận và dữ liệu bàn giao.</w:t>
            </w:r>
          </w:p>
        </w:tc>
      </w:tr>
    </w:tbl>
    <w:p>
      <w:pPr>
        <w:keepNext/>
        <w:spacing w:before="200" w:after="80"/>
        <w:jc w:val="left"/>
      </w:pPr>
      <w:r>
        <w:rPr>
          <w:rFonts w:ascii="Times New Roman" w:hAnsi="Times New Roman"/>
          <w:b/>
          <w:i w:val="0"/>
          <w:color w:val="000000"/>
          <w:sz w:val="22"/>
        </w:rPr>
        <w:t>Bảng 2.6: Danh sách câu hỏi định tính không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phỏng vấn mở</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phỏng vấn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tìm hiểu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Phạm vi khai thác và ghi chú</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thường gặp khó khăn gì khi nhập thông tin?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Tìm nguyên nhân UX/dữ liệu.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ví dụ, kênh phát sinh, tần suất và cách xử lý thực tế.</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Ngoại lệ nào chưa được thể hiện trên sơ đồ?</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Tìm hidden work và nhánh thiếu.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Ghi nhận ví dụ, kênh phát sinh, tần suất và cách xử lý thực tế.</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Bước nào thường phải làm lại hoặc kiểm tra lại?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Xác định Waste/NVA.</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ví dụ, kênh phát sinh, tần suất và cách xử lý thực tế.</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Thông báo lỗi có đủ rõ để tự sửa không?</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Đánh giá feedback loop.</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Ghi nhận ví dụ, kênh phát sinh, tần suất và cách xử lý thực tế.</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Giải pháp nào giảm thời gian chờ và vòng bổ sung?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Thu thập cải tiến khả thi.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ví dụ, kênh phát sinh, tần suất và cách xử lý thực tế.</w:t>
            </w:r>
          </w:p>
        </w:tc>
      </w:tr>
    </w:tbl>
    <w:p>
      <w:pPr>
        <w:pStyle w:val="Heading3"/>
        <w:keepNext/>
        <w:spacing w:before="160" w:after="60"/>
        <w:jc w:val="left"/>
      </w:pPr>
      <w:r>
        <w:rPr>
          <w:rFonts w:ascii="Times New Roman" w:hAnsi="Times New Roman"/>
          <w:b/>
          <w:i w:val="0"/>
          <w:color w:val="000000"/>
          <w:sz w:val="25"/>
        </w:rPr>
        <w:t>2.2.2. Câu hỏi định lượng</w:t>
      </w:r>
    </w:p>
    <w:p>
      <w:pPr>
        <w:spacing w:before="0" w:after="120" w:line="300" w:lineRule="auto"/>
        <w:jc w:val="both"/>
      </w:pPr>
      <w:r>
        <w:rPr>
          <w:rFonts w:ascii="Times New Roman" w:hAnsi="Times New Roman"/>
          <w:color w:val="000000"/>
          <w:sz w:val="24"/>
        </w:rPr>
        <w:t>Phương pháp phỏng vấn định lượng được triển khai thông qua 10 câu hỏi về PT, WT, CT, FPY, tỷ lệ chuẩn hóa địa chỉ, tỷ lệ tạo mã, tỷ lệ gửi xác nhận, vòng sửa và chi phí xử lý theo phương pháp ABC. Các công thức và cách diễn giải được trình bày đồng nhất với Bảng 4.8, Bảng 4.9 và Bảng 4.10.</w:t>
      </w:r>
    </w:p>
    <w:p>
      <w:pPr>
        <w:keepNext/>
        <w:spacing w:before="200" w:after="80"/>
        <w:jc w:val="left"/>
      </w:pPr>
      <w:r>
        <w:rPr>
          <w:rFonts w:ascii="Times New Roman" w:hAnsi="Times New Roman"/>
          <w:b/>
          <w:i w:val="0"/>
          <w:color w:val="000000"/>
          <w:sz w:val="22"/>
        </w:rPr>
        <w:t>Bảng 2.7: Danh sách câu hỏi định lượng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câu hỏi</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Nội dung câu hỏi định lượng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áp dụng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xác nhận</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 xử lý thực tế của từng activity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thời gian có xử lý thực tế.</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WT chờ bổ sung hoặc phản hồi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Kênh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thời gian chờ ngoài xử lý.</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CT từ nhận yêu cầu đến gửi xác nhận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Kênh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Đối soát CT = PT +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Bao nhiêu yêu cầu hợp lệ ngay lần đầu?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FPY của dữ liệu đầu vào.</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tạo mã vận đơn thành công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API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độ tin cậy tạo mã.</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QN-06</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gửi xác nhận thành công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 OMS</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delivery status của thông báo.</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QN-07</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yêu cầu phải sửa hoặc bổ sung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rework rate.</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QN-08</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chuẩn hóa địa chỉ thành công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chất lượng master-data mapping.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QN-09</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Bao nhiêu yêu cầu bị bỏ dở hoặc quá SLA?</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Inventory/Hold trong queue.</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QN-10</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bình quân cho một yêu cầu là bao nhiêu?</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 OMS / Finance</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nhân sự, hệ thống, rework và chờ.</w:t>
            </w:r>
          </w:p>
        </w:tc>
      </w:tr>
    </w:tbl>
    <w:p>
      <w:pPr>
        <w:keepNext/>
        <w:spacing w:before="200" w:after="80"/>
        <w:jc w:val="left"/>
      </w:pPr>
      <w:r>
        <w:rPr>
          <w:rFonts w:ascii="Times New Roman" w:hAnsi="Times New Roman"/>
          <w:b/>
          <w:i w:val="0"/>
          <w:color w:val="000000"/>
          <w:sz w:val="22"/>
        </w:rPr>
        <w:t>Bảng 2.8: Ghi nhận câu trả lời cho câu hỏi định lượng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134"/>
        <w:gridCol w:w="1134"/>
        <w:gridCol w:w="1134"/>
        <w:gridCol w:w="1134"/>
        <w:gridCol w:w="1134"/>
        <w:gridCol w:w="1134"/>
        <w:gridCol w:w="1134"/>
        <w:gridCol w:w="1134"/>
      </w:tblGrid>
      <w:tr>
        <w:trPr>
          <w:cantSplit/>
          <w:tblHeader/>
        </w:trPr>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 câu hỏi</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A</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B</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án C</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Giá trị tính theo bộ tham số</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Giả thuyết tính toán</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Điểm cần làm rõ</w:t>
            </w:r>
          </w:p>
        </w:tc>
        <w:tc>
          <w:tcPr>
            <w:tcW w:type="dxa" w:w="113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Căn cứ dữ liệu</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QN-01</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Dưới 3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3 đến 7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7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 bình quân 6,53 phút/đơn.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xử lý tập trung ở khâu khai báo, tiếp nhận và kiểm tra.</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bổ PT theo từng kênh.</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Bảng 4.8 và thời điểm xử lý của từng bước.</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QN-02</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Dưới 1 phút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Từ 1 đến 3 phút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Trên 3 phút</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WT bình quân 2,00 phút/đơn.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chờ chủ yếu phát sinh ở vòng bổ sung.</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WT theo loại lỗi và kênh tiếp nhận.</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Bảng 4.8 và lịch sử trạng thái yêu cầu.</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QN-03</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Dưới 5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5 đến 10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10 phút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CT bình quân 8,53 phút/đơn.</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CT = PT + WT trong cùng phạm vi quy trình.</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điểm bắt đầu và kết thúc cần thống nhất.</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Bảng 4.8 và lịch sử giao dịch.</w:t>
            </w:r>
          </w:p>
        </w:tc>
      </w:tr>
      <w:tr>
        <w:trPr>
          <w:cantSplit/>
        </w:trPr>
        <w:tc>
          <w:tcPr>
            <w:tcW w:type="dxa" w:w="113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QN-04</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Trên 95%</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Từ 85% đến 95%</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Dưới 85%</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FPY 92,00%.</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Khoảng 8% yêu cầu phát sinh vòng sửa.</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lỗi theo trường dữ liệu.</w:t>
            </w:r>
          </w:p>
        </w:tc>
        <w:tc>
          <w:tcPr>
            <w:tcW w:type="dxa" w:w="113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Bảng 4.9 và dữ liệu yêu cầu tạo đơn.</w:t>
            </w:r>
          </w:p>
        </w:tc>
      </w:tr>
      <w:tr>
        <w:trPr>
          <w:cantSplit/>
        </w:trPr>
        <w:tc>
          <w:tcPr>
            <w:tcW w:type="dxa" w:w="113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QN-05</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Trên 99%</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Từ 95% đến 99%</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Dưới 95%</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mã thành công 99,50%.</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tạo mã tập trung ở lỗi kỹ thuật hoặc gửi lại.</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Tách lỗi nghiệp vụ, lỗi kỹ thuật và tạo trùng.</w:t>
            </w:r>
          </w:p>
        </w:tc>
        <w:tc>
          <w:tcPr>
            <w:tcW w:type="dxa" w:w="113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Bảng 4.9, trạng thái mã và lịch sử giao dịch.</w:t>
            </w:r>
          </w:p>
        </w:tc>
      </w:tr>
    </w:tbl>
    <w:p>
      <w:pPr>
        <w:keepNext/>
        <w:spacing w:before="200" w:after="80"/>
        <w:jc w:val="left"/>
      </w:pPr>
      <w:r>
        <w:rPr>
          <w:rFonts w:ascii="Times New Roman" w:hAnsi="Times New Roman"/>
          <w:b/>
          <w:i w:val="0"/>
          <w:color w:val="000000"/>
          <w:sz w:val="22"/>
        </w:rPr>
        <w:t>Bảng 2.9: Danh sách câu hỏi định lượng không có cấu trúc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phỏng vấn mở</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Đối tượng phỏng vấn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Mục tiêu tìm hiểu</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Phạm vi khai thác và ghi chú</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 và WT biến động theo Web/App/API/Quầy như thế nào?</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OMS</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Tìm bottleneck theo channel.</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event log cùng population và khung thời gian.</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Nhóm lỗi địa chỉ, COD, hàng hóa và dịch vụ có tần suất khác nhau ra sao?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Ưu tiên validation.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error class và số lượng giao dịch.</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bỏ dở tồn trong queue bao lâu trước khi xử lý hoặc đóng?</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 CSKH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Đo Hold/Inventory và SLA.</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queue snapshot và transition log.</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CSKH và retry thay đổi theo loại ngoại lệ thế nào?</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CSKH / Finance</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Đo cost of rework.</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ticket, effort và đơn giá nhân sự.</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Mức phân tán của PT, WT, CT và tỷ lệ thành công theo giờ cao điểm là bao nhiêu?</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Kênh</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Đánh giá biến động và năng lực.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Cần timestamp, percentile và volume theo giờ.</w:t>
            </w:r>
          </w:p>
        </w:tc>
      </w:tr>
    </w:tbl>
    <w:p>
      <w:pPr>
        <w:pStyle w:val="Heading1"/>
        <w:keepNext/>
        <w:spacing w:before="280" w:after="120"/>
        <w:jc w:val="left"/>
      </w:pPr>
      <w:r>
        <w:rPr>
          <w:rFonts w:ascii="Times New Roman" w:hAnsi="Times New Roman"/>
          <w:b/>
          <w:i w:val="0"/>
          <w:color w:val="000000"/>
          <w:sz w:val="30"/>
        </w:rPr>
        <w:t>3. Mô hình hóa quy trình</w:t>
      </w:r>
    </w:p>
    <w:p>
      <w:pPr>
        <w:keepNext/>
        <w:spacing w:before="160" w:after="40"/>
        <w:jc w:val="center"/>
      </w:pPr>
      <w:r>
        <w:drawing>
          <wp:inline>
            <wp:extent cx="5852160" cy="3413760"/>
            <wp:docPr id="4" name="Picture 4"/>
            <wp:cNvGraphicFramePr>
              <a:graphicFrameLocks noChangeAspect="1"/>
            </wp:cNvGraphicFramePr>
            <a:graphic>
              <a:graphicData uri="http://schemas.openxmlformats.org/drawingml/2006/picture">
                <pic:pic>
                  <pic:nvPicPr>
                    <pic:cNvPr id="0" name="Quy_trinh_tiep_nhan_don_hang.png"/>
                    <pic:cNvPicPr/>
                  </pic:nvPicPr>
                  <pic:blipFill>
                    <a:blip r:embed="rId12"/>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3.1: Sơ đồ BPMN quy trình tiếp nhận đơn hàng</w:t>
      </w:r>
    </w:p>
    <w:p>
      <w:pPr>
        <w:pStyle w:val="Heading1"/>
        <w:keepNext/>
        <w:spacing w:before="280" w:after="120"/>
        <w:jc w:val="left"/>
      </w:pPr>
      <w:r>
        <w:rPr>
          <w:rFonts w:ascii="Times New Roman" w:hAnsi="Times New Roman"/>
          <w:b/>
          <w:i w:val="0"/>
          <w:color w:val="000000"/>
          <w:sz w:val="30"/>
        </w:rPr>
        <w:t>4. Phân tích quy trình</w:t>
      </w:r>
    </w:p>
    <w:p>
      <w:pPr>
        <w:pStyle w:val="Heading2"/>
        <w:keepNext/>
        <w:spacing w:before="220" w:after="80"/>
        <w:jc w:val="left"/>
      </w:pPr>
      <w:r>
        <w:rPr>
          <w:rFonts w:ascii="Times New Roman" w:hAnsi="Times New Roman"/>
          <w:b/>
          <w:i w:val="0"/>
          <w:color w:val="000000"/>
          <w:sz w:val="27"/>
        </w:rPr>
        <w:t>4.1. Phân tích định tính</w:t>
      </w:r>
    </w:p>
    <w:p>
      <w:pPr>
        <w:pStyle w:val="Heading3"/>
        <w:keepNext/>
        <w:spacing w:before="160" w:after="60"/>
        <w:jc w:val="left"/>
      </w:pPr>
      <w:r>
        <w:rPr>
          <w:rFonts w:ascii="Times New Roman" w:hAnsi="Times New Roman"/>
          <w:b/>
          <w:i w:val="0"/>
          <w:color w:val="000000"/>
          <w:sz w:val="25"/>
        </w:rPr>
        <w:t>4.1.1. Phân tích giá trị gia tăng</w:t>
      </w:r>
    </w:p>
    <w:p>
      <w:pPr>
        <w:keepNext/>
        <w:spacing w:before="200" w:after="80"/>
        <w:jc w:val="left"/>
      </w:pPr>
      <w:r>
        <w:rPr>
          <w:rFonts w:ascii="Times New Roman" w:hAnsi="Times New Roman"/>
          <w:b/>
          <w:i w:val="0"/>
          <w:color w:val="000000"/>
          <w:sz w:val="22"/>
        </w:rPr>
        <w:t>Bảng 4.1: Tiêu chí phân loại giá trị gia tăng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3024"/>
        <w:gridCol w:w="3024"/>
        <w:gridCol w:w="3024"/>
      </w:tblGrid>
      <w:tr>
        <w:trPr>
          <w:cantSplit/>
          <w:tblHeader/>
        </w:trPr>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giá trị</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Câu hỏi kiểm định theo phương pháp Dumas</w:t>
            </w:r>
          </w:p>
        </w:tc>
        <w:tc>
          <w:tcPr>
            <w:tcW w:type="dxa" w:w="302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Căn cứ phân loại và áp dụng thực tế</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kết quả mà khách hàng cần hoặc là output trực tiếp của dịch vụ.</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dữ liệu cần thiết; ghi nhận đơn; tạo mã; gửi xác nhận.</w:t>
            </w:r>
          </w:p>
        </w:tc>
      </w:tr>
      <w:tr>
        <w:trPr>
          <w:cantSplit/>
        </w:trPr>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BVA</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cho vận hành, kiểm soát hoặc tuân thủ nhưng không trực tiếp tạo giá trị.</w:t>
            </w:r>
          </w:p>
        </w:tc>
        <w:tc>
          <w:tcPr>
            <w:tcW w:type="dxa" w:w="302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kiểm tra và chuẩn hóa dữ liệu.</w:t>
            </w:r>
          </w:p>
        </w:tc>
      </w:tr>
      <w:tr>
        <w:trPr>
          <w:cantSplit/>
        </w:trPr>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NVA</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Không tạo giá trị, phát sinh do lỗi/chờ/làm lại và có thể giảm.</w:t>
            </w:r>
          </w:p>
        </w:tc>
        <w:tc>
          <w:tcPr>
            <w:tcW w:type="dxa" w:w="302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Sửa/bổ sung, xử lý lỗi tạo lại.</w:t>
            </w:r>
          </w:p>
        </w:tc>
      </w:tr>
    </w:tbl>
    <w:p>
      <w:pPr>
        <w:keepNext/>
        <w:spacing w:before="200" w:after="80"/>
        <w:jc w:val="left"/>
      </w:pPr>
      <w:r>
        <w:rPr>
          <w:rFonts w:ascii="Times New Roman" w:hAnsi="Times New Roman"/>
          <w:b/>
          <w:i w:val="0"/>
          <w:color w:val="000000"/>
          <w:sz w:val="22"/>
        </w:rPr>
        <w:t>Bảng 4.2: Danh mục hoạt động và chỉ số phân tích</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814"/>
        <w:gridCol w:w="1814"/>
        <w:gridCol w:w="1814"/>
        <w:gridCol w:w="1814"/>
        <w:gridCol w:w="1814"/>
      </w:tblGrid>
      <w:tr>
        <w:trPr>
          <w:cantSplit/>
          <w:tblHeader/>
        </w:trPr>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Hoạt động</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Số bước con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Người thực hiện</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Chỉ số theo dõi</w:t>
            </w:r>
          </w:p>
        </w:tc>
        <w:tc>
          <w:tcPr>
            <w:tcW w:type="dxa" w:w="1814"/>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thông tin người gửi/người nhận</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hàng/Đối tác</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Trường bắt buộc và định dạng</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Khai hàng hóa, COD và chọn dịch vụ</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hàng/Đối tác</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COD/khối lượng/dịch vụ</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yêu cầu tạo đơn</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Kênh/Nhân viên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Nguồn Web/App/API/Quầy</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trường và định dạng</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OMS/API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Validation</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Chuẩn hóa địa chỉ và dữ liệu</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Danh mục hành chính</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Sửa/bổ sung thông tin</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hàng/CSKH</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Feedback loop</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đơn điện tử</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Record created</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Khởi tạo mã vận đơn</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OMS/API</w:t>
            </w:r>
          </w:p>
        </w:tc>
        <w:tc>
          <w:tcPr>
            <w:tcW w:type="dxa" w:w="1814"/>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Unique ID</w:t>
            </w:r>
          </w:p>
        </w:tc>
        <w:tc>
          <w:tcPr>
            <w:tcW w:type="dxa" w:w="1814"/>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r>
      <w:tr>
        <w:trPr>
          <w:cantSplit/>
        </w:trPr>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thông báo xác nhận</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 bước con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Kênh/Nhân viên</w:t>
            </w:r>
          </w:p>
        </w:tc>
        <w:tc>
          <w:tcPr>
            <w:tcW w:type="dxa" w:w="1814"/>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Message delivered</w:t>
            </w:r>
          </w:p>
        </w:tc>
        <w:tc>
          <w:tcPr>
            <w:tcW w:type="dxa" w:w="1814"/>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r>
    </w:tbl>
    <w:p>
      <w:pPr>
        <w:keepNext/>
        <w:spacing w:before="200" w:after="80"/>
        <w:jc w:val="left"/>
      </w:pPr>
      <w:r>
        <w:rPr>
          <w:rFonts w:ascii="Times New Roman" w:hAnsi="Times New Roman"/>
          <w:b/>
          <w:i w:val="0"/>
          <w:color w:val="000000"/>
          <w:sz w:val="22"/>
        </w:rPr>
        <w:t>Bảng 4.3: Phân tích giá trị gia tăng theo bước</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Bước</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nhân thực hiện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Phân loại giá trị</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 hoạt động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Căn cứ phân loại</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Biện pháp cải tiến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Đối tác</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thông tin người gửi/người nhận và dịch vụ.</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Dữ liệu cần để tạo yêu cầu.</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Gợi ý theo trường và lưu nháp.</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2</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 Nhân viên</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yêu cầu tạo đơn từ kênh.</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Cần đưa yêu cầu vào hệ thống.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Dùng contract chung cho mọi kênh.</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3</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trường bắt buộc, định dạng và chuẩn hóa địa chỉ.</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soát dữ liệu trước khi ghi nhận.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Rule engine và master data dùng chung.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Quyết định dữ liệu hợp lệ hay cần bổ sung.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Điểm kiểm soát gateway.</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Trả mã lỗi theo trường.</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Kênh tiếp nhận / Nhân viên</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yêu cầu bổ sung thông tin.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Phát sinh khi dữ liệu lỗi.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Giữ dữ liệu hợp lệ và chỉ yêu cầu trường lỗi.</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6</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Khách hàng / Đối tác</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Bổ sung và gửi lại thông tin.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Là vòng rework của yêu cầu.</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Validation tại nguồn và hướng dẫn rõ.</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7</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đơn điện tử.</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bản ghi đầu ra của quy trình.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Tự động hóa và lưu lịch sử giao dịch.</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8</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kết quả ghi nhận 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Bảo đảm record tồn tại trước khi tạo mã.</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Transaction và error class rõ.</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mã vận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định danh khách hàng cần.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Idempotency và uniqueness.</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10</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OMS / API</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BVA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Kiểm tra kết quả tạo mã.</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Điểm kiểm soát trước khi xác nhận.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Retry có giới hạn và replay an toàn.</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11</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CSKH / Xử lý ngoại lệ</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NVA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và xử lý lỗi tạo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Phát sinh do lỗi kỹ thuật.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Dashboard, escalation và root-cause tracking.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12</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 Nhân viên</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VA</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Gửi xác nhận và mã vận 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Cung cấp đầu ra cho khách hàng.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Theo dõi delivery status.</w:t>
            </w:r>
          </w:p>
        </w:tc>
      </w:tr>
    </w:tbl>
    <w:p>
      <w:pPr>
        <w:keepNext/>
        <w:spacing w:before="160" w:after="40"/>
        <w:jc w:val="center"/>
      </w:pPr>
      <w:r>
        <w:drawing>
          <wp:inline>
            <wp:extent cx="5852160" cy="3413760"/>
            <wp:docPr id="5" name="Picture 5"/>
            <wp:cNvGraphicFramePr>
              <a:graphicFrameLocks noChangeAspect="1"/>
            </wp:cNvGraphicFramePr>
            <a:graphic>
              <a:graphicData uri="http://schemas.openxmlformats.org/drawingml/2006/picture">
                <pic:pic>
                  <pic:nvPicPr>
                    <pic:cNvPr id="0" name="Quy_trinh_tiep_nhan_don_hang_VAA.png"/>
                    <pic:cNvPicPr/>
                  </pic:nvPicPr>
                  <pic:blipFill>
                    <a:blip r:embed="rId13"/>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4.1: Sơ đồ BPMN - Phân tích giá trị gia tăng</w:t>
      </w:r>
    </w:p>
    <w:p>
      <w:pPr>
        <w:pStyle w:val="Heading3"/>
        <w:keepNext/>
        <w:spacing w:before="160" w:after="60"/>
        <w:jc w:val="left"/>
      </w:pPr>
      <w:r>
        <w:rPr>
          <w:rFonts w:ascii="Times New Roman" w:hAnsi="Times New Roman"/>
          <w:b/>
          <w:i w:val="0"/>
          <w:color w:val="000000"/>
          <w:sz w:val="25"/>
        </w:rPr>
        <w:t>4.1.2. Phân tích lãng phí</w:t>
      </w:r>
    </w:p>
    <w:p>
      <w:pPr>
        <w:keepNext/>
        <w:spacing w:before="200" w:after="80"/>
        <w:jc w:val="left"/>
      </w:pPr>
      <w:r>
        <w:rPr>
          <w:rFonts w:ascii="Times New Roman" w:hAnsi="Times New Roman"/>
          <w:b/>
          <w:i w:val="0"/>
          <w:color w:val="000000"/>
          <w:sz w:val="22"/>
        </w:rPr>
        <w:t>Bảng 4.4: Phân tích lãng phí</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2268"/>
        <w:gridCol w:w="2268"/>
        <w:gridCol w:w="2268"/>
        <w:gridCol w:w="2268"/>
      </w:tblGrid>
      <w:tr>
        <w:trPr>
          <w:cantSplit/>
          <w:tblHeader/>
        </w:trPr>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Nhóm lãng phí</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Loại lãng phí</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Bằng chứng thực tế</w:t>
            </w:r>
          </w:p>
        </w:tc>
        <w:tc>
          <w:tcPr>
            <w:tcW w:type="dxa" w:w="2268"/>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Biện pháp cải tiến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HOLD</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Waiting</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phải dừng lại khi khách hàng bổ sung thông tin hoặc khi OMS/API chưa trả kết quả xử lý.</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Thiết lập thời hạn phản hồi, nhắc việc tự động và quy tắc đóng yêu cầu quá hạn.</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MOVE</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Information movement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Thông tin đơn hàng được chuyển qua Web, App, API, nhân viên tiếp nhận, OMS và CSKH; mỗi điểm chuyển đều có nguy cơ sai khác dữ liệu.</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Dùng một hợp đồng dữ liệu chung và đồng bộ trạng thái giữa các kênh.</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TRANSPORT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Customer travel</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có thể phải đến điểm giao dịch để bổ sung thông tin vốn có thể thực hiện trực tuyến.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Mở rộng chức năng bổ sung trực tuyến và hỗ trợ xác thực từ xa.</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OVER-DO</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Over-processing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Người dùng phải nhập lại toàn bộ biểu mẫu hoặc nhân viên kiểm tra lại cả các trường không thay đổi.</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Giữ lại trường hợp lệ và chỉ yêu cầu sửa đúng dữ liệu sai hoặc thiếu.</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DEFECT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Data defect</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lỗi phổ biến tập trung ở địa chỉ, số điện thoại, khối lượng, COD và lựa chọn dịch vụ.</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theo trường, gợi ý dữ liệu và chuẩn hóa danh mục dùng chung.</w:t>
            </w:r>
          </w:p>
        </w:tc>
      </w:tr>
      <w:tr>
        <w:trPr>
          <w:cantSplit/>
        </w:trPr>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INVENTORY</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Pending request</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chưa hoàn tất tiếp tục nằm trong hàng đợi trong khi chưa có người phụ trách hoặc thời hạn xử lý rõ ràng.</w:t>
            </w:r>
          </w:p>
        </w:tc>
        <w:tc>
          <w:tcPr>
            <w:tcW w:type="dxa" w:w="2268"/>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Gán người phụ trách hàng đợi, hiển thị thời hạn và cảnh báo quá hạn.</w:t>
            </w:r>
          </w:p>
        </w:tc>
      </w:tr>
      <w:tr>
        <w:trPr>
          <w:cantSplit/>
        </w:trPr>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REWORK</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Retry / recreate</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kỹ thuật hoặc phản hồi không rõ làm phát sinh thao tác gửi lại, thử lại hoặc tạo lại đơn.</w:t>
            </w:r>
          </w:p>
        </w:tc>
        <w:tc>
          <w:tcPr>
            <w:tcW w:type="dxa" w:w="2268"/>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Áp dụng mã yêu cầu duy nhất, phân loại lỗi và cơ chế gửi lại không tạo trùng.</w:t>
            </w:r>
          </w:p>
        </w:tc>
      </w:tr>
    </w:tbl>
    <w:p>
      <w:pPr>
        <w:keepNext/>
        <w:spacing w:before="160" w:after="40"/>
        <w:jc w:val="center"/>
      </w:pPr>
      <w:r>
        <w:drawing>
          <wp:inline>
            <wp:extent cx="5852160" cy="3413760"/>
            <wp:docPr id="6" name="Picture 6"/>
            <wp:cNvGraphicFramePr>
              <a:graphicFrameLocks noChangeAspect="1"/>
            </wp:cNvGraphicFramePr>
            <a:graphic>
              <a:graphicData uri="http://schemas.openxmlformats.org/drawingml/2006/picture">
                <pic:pic>
                  <pic:nvPicPr>
                    <pic:cNvPr id="0" name="Quy_trinh_tiep_nhan_don_hang_Waste.png"/>
                    <pic:cNvPicPr/>
                  </pic:nvPicPr>
                  <pic:blipFill>
                    <a:blip r:embed="rId14"/>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4.2: Sơ đồ BPMN - Phân tích lãng phí</w:t>
      </w:r>
    </w:p>
    <w:p>
      <w:pPr>
        <w:pStyle w:val="Heading3"/>
        <w:keepNext/>
        <w:spacing w:before="160" w:after="60"/>
        <w:jc w:val="left"/>
      </w:pPr>
      <w:r>
        <w:rPr>
          <w:rFonts w:ascii="Times New Roman" w:hAnsi="Times New Roman"/>
          <w:b/>
          <w:i w:val="0"/>
          <w:color w:val="000000"/>
          <w:sz w:val="25"/>
        </w:rPr>
        <w:t>4.1.3. Phân tích các bên liên quan và xác định nguyên nhân gốc rễ</w:t>
      </w:r>
    </w:p>
    <w:p>
      <w:pPr>
        <w:keepNext/>
        <w:spacing w:before="200" w:after="80"/>
        <w:jc w:val="left"/>
      </w:pPr>
      <w:r>
        <w:rPr>
          <w:rFonts w:ascii="Times New Roman" w:hAnsi="Times New Roman"/>
          <w:b/>
          <w:i w:val="0"/>
          <w:color w:val="000000"/>
          <w:sz w:val="22"/>
        </w:rPr>
        <w:t>Bảng 4.5: Phân tích các bên liên quan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Nhóm liên quan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Vai trò trong quy trình</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Mối quan tâm chính</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Vấn đề / Yếu kém tiềm năng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Bằng chứng thực tế</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động đến hiệu năng quy trình</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 Đối tác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Khởi tạo yêu cầu, bổ sung dữ liệu và nhận xác nhận.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Biểu mẫu dễ dùng, ít lỗi và nhận mã nhanh.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Sai hoặc thiếu trường làm phát sinh nhiều vòng bổ sung.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Thông tin người gửi, người nhận, hàng hóa, COD và dịch vụ được khai tại kênh tạo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Tăng WT và CT; giảm tỷ lệ đúng ngay lần đầu.</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Kênh tiếp nhận / Nhân viên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đa kênh, hướng dẫn khách hàng và gửi kết quả.</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Quy tắc thống nhất và thông báo lỗi rõ ràng.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Cách kiểm tra khác nhau giữa các kênh có thể làm lệch dữ liệu.</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được tiếp nhận qua Web, App, API hoặc quầy trước khi chuyển vào OMS.</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thao tác kiểm tra, thời gian hướng dẫn và nguy cơ làm lại.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Hệ thống OMS / API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chuẩn hóa, ghi nhận đơn và tạo mã vận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Dữ liệu hợp lệ, xử lý ổn định và không tạo trùng.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kỹ thuật, gửi lại hoặc quy tắc không đồng nhất có thể làm thất bại tạo mã.</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 là điểm tập trung kiểm tra dữ liệu, ghi nhận trạng thái và sinh mã vận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Ảnh hưởng trực tiếp đến FPY, tỷ lệ tạo mã và thời gian chu kỳ.</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CSKH / Xử lý ngoại lệ</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Hỗ trợ các trường hợp không thể tự sửa hoặc lỗi cần can thiệp.</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Có đủ thông tin lỗi và lịch sử xử lý.</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Thiếu ngữ cảnh làm kéo dài thời gian xử lý và tăng số lần liên hệ.</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Các lỗi không tự khắc phục được được chuyển sang đầu mối hỗ trợ.</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chi phí hỗ trợ, WT và tỷ lệ xử lý lại.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Bộ phận nhận hàng / Thu gom</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Tiếp nhận mã vận đơn và chuẩn bị nhận bưu gửi.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Mã và trạng thái bàn giao chính xác.</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Trạng thái chưa đồng bộ có thể gây chậm nhận hàng hoặc đối chiếu sai.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Đơn đã có mã và xác nhận được chuyển sang công đoạn nhận bưu gửi.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Ảnh hưởng đến tính liên tục giữa tiếp nhận đơn và khai thác bưu gửi.</w:t>
            </w:r>
          </w:p>
        </w:tc>
      </w:tr>
    </w:tbl>
    <w:p>
      <w:pPr>
        <w:pStyle w:val="Heading4"/>
        <w:keepNext/>
        <w:spacing w:before="120" w:after="40"/>
        <w:jc w:val="left"/>
      </w:pPr>
      <w:r>
        <w:rPr>
          <w:rFonts w:ascii="Times New Roman" w:hAnsi="Times New Roman"/>
          <w:b/>
          <w:i w:val="0"/>
          <w:color w:val="000000"/>
          <w:sz w:val="24"/>
        </w:rPr>
        <w:t>4.1.3.1. Sổ theo dõi vấn đề (Issue register)</w:t>
      </w:r>
    </w:p>
    <w:p>
      <w:pPr>
        <w:keepNext/>
        <w:spacing w:before="200" w:after="80"/>
        <w:jc w:val="left"/>
      </w:pPr>
      <w:r>
        <w:rPr>
          <w:rFonts w:ascii="Times New Roman" w:hAnsi="Times New Roman"/>
          <w:b/>
          <w:i w:val="0"/>
          <w:color w:val="000000"/>
          <w:sz w:val="22"/>
        </w:rPr>
        <w:t>Bảng 4.6: Sổ theo dõi vấn đề (Issue register)</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Mã vấn đề</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Tên vấn đề</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Mô tả chi tiết vấn đề</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Nguyên nhân cần xem xét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Tác động đến quy trình</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Chỉ số liên quan</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Biện pháp cải tiến đề xuất</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Khách hàng phải bổ sung nhiều vòng</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Yêu cầu được trả lại nhiều lần do thông báo lỗi chưa chỉ rõ trường cần sửa.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và phản hồi dữ liệu chưa thống nhất giữa các kênh.</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Tăng thời gian chờ và giảm trải nghiệm khách hàng.</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WT, CT, FPY và tỷ lệ bổ sung.</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Trả lỗi theo trường, giữ dữ liệu hợp lệ và hỗ trợ gợi ý sửa.</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ISS-02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Dữ liệu giữa các kênh có thể sai khác</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Cùng một yêu cầu nhưng Web, App, API và quầy có thể áp dụng cách kiểm tra khác nhau.</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Thiếu danh mục trường và phiên bản quy tắc dùng chung.</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lỗi dữ liệu, thao tác kiểm tra và xử lý lại.</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Defect, Move, PT và rework rate.</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Chuẩn hóa hợp đồng dữ liệu, phiên bản quy tắc và trách nhiệm quản lý.</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ISS-03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Lỗi kỹ thuật làm gián đoạn tạo 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lại yêu cầu sau lỗi có thể làm phát sinh tạo lại hoặc tạo trùng 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Cơ chế chống trùng và phân loại lỗi chưa rõ.</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Giảm tỷ lệ tạo mã và tăng khối lượng hỗ trợ.</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tạo mã, tỷ lệ trùng và số ticket.</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Dùng mã yêu cầu duy nhất, phân loại lỗi và cơ chế gửi lại an toàn.</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ISS-04</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bỏ dở tồn trong hàng đợi</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Yêu cầu chờ bổ sung hoặc chờ xử lý có thể tồn quá lâu mà chưa được đóng.</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Thiếu thời hạn, người phụ trách và cảnh báo quá hạn.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Tăng tồn đọng, WT và nguy cơ bỏ sót yêu cầu.</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Tuổi hàng đợi, số yêu cầu quá hạn và tỷ lệ đóng.</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Gán người phụ trách, thời hạn xử lý, nhắc việc và cảnh báo quá hạn.</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CTRL-01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Theo dõi hiệu năng chưa đồng nhất</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Các chỉ số thời gian, chất lượng và chi phí cần được đo theo cùng phạm vi và kỳ phân tích.</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Nguồn dữ liệu và cách tính giữa các kênh chưa được chuẩn hóa.</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Khó xác định chính xác điểm nghẽn và hiệu quả cải tiến.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PT, WT, CT, PCE, FPY và chi phí/đơn.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Thống nhất định nghĩa chỉ số, điểm đo và chu kỳ tổng hợp dữ liệu.</w:t>
            </w:r>
          </w:p>
        </w:tc>
      </w:tr>
    </w:tbl>
    <w:p>
      <w:pPr>
        <w:pStyle w:val="Heading4"/>
        <w:keepNext/>
        <w:spacing w:before="120" w:after="40"/>
        <w:jc w:val="left"/>
      </w:pPr>
      <w:r>
        <w:rPr>
          <w:rFonts w:ascii="Times New Roman" w:hAnsi="Times New Roman"/>
          <w:b/>
          <w:i w:val="0"/>
          <w:color w:val="000000"/>
          <w:sz w:val="24"/>
        </w:rPr>
        <w:t>4.1.3.2. Phân tích nguyên nhân gốc rễ</w:t>
      </w:r>
    </w:p>
    <w:p>
      <w:pPr>
        <w:keepNext/>
        <w:spacing w:before="200" w:after="80"/>
        <w:jc w:val="left"/>
      </w:pPr>
      <w:r>
        <w:rPr>
          <w:rFonts w:ascii="Times New Roman" w:hAnsi="Times New Roman"/>
          <w:b/>
          <w:i w:val="0"/>
          <w:color w:val="000000"/>
          <w:sz w:val="22"/>
        </w:rPr>
        <w:t>Bảng 4.7: Phân tích 5 Why</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4536"/>
        <w:gridCol w:w="4536"/>
      </w:tblGrid>
      <w:tr>
        <w:trPr>
          <w:cantSplit/>
          <w:tblHeader/>
        </w:trPr>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Cấp độ phân tích 5 Why</w:t>
            </w:r>
          </w:p>
        </w:tc>
        <w:tc>
          <w:tcPr>
            <w:tcW w:type="dxa" w:w="453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Nội dung phân tích nguyên nhân gốc rễ</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Vấn đề trọng tâm</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Phát sinh vòng sửa/bổ sung, lỗi tạo đơn và yêu cầu chờ xử lý trong hàng đợi.</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1: Tại sao phát sinh vòng sửa/bổ sung?</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ISS-01: Dữ liệu không hợp lệ; ISS-02: Rule giữa các kênh không đồng nhất; ISS-03: Tạo đơn hoặc tạo mã thất bại; ISS-04: Yêu cầu bỏ dở trong queue</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2: Tại sao quy tắc giữa các kênh không đồng nhất?</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ISS-01: Khách hàng nhập sai / validation chưa rõ; ISS-02: Thiếu schema/version chung; ISS-03: Retry chưa idempotent; ISS-04: Thiếu SLA và timeout</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3: Tại sao thiếu danh mục dữ liệu, người phụ trách và khả năng theo dõi?</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ISS-01: Rule kênh không đồng nhất; ISS-02: Thiếu mapping và owner; ISS-03: Thiếu error class và observability; ISS-04: Không có queue owner</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Cấp 4: Tại sao chưa có cách kiểm soát thống nhất?</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ISS-01: Thiếu schema, owner và test; ISS-02: Thiếu mapping và owner; ISS-03: Thiếu error class và observability; ISS-04: Không có queue owner</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Cấp 5: Tại sao yêu cầu vẫn chờ trong hàng đợi?</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ISS-01: Chưa có quy tắc vận hành thống nhất; ISS-02: Thiếu contract test liên kênh; ISS-03: Chưa có replay chuẩn; ISS-04: Thiếu dashboard / escalation</w:t>
            </w:r>
          </w:p>
        </w:tc>
      </w:tr>
      <w:tr>
        <w:trPr>
          <w:cantSplit/>
        </w:trPr>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Nguyên nhân gốc rễ</w:t>
            </w:r>
          </w:p>
        </w:tc>
        <w:tc>
          <w:tcPr>
            <w:tcW w:type="dxa" w:w="453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ISS-01: RC-01: Quy tắc vận hành dùng chung; ISS-02: RC-02: Hợp đồng dữ liệu và quy tắc thống nhất</w:t>
              <w:br/>
              <w:t>ISS-03: RC-03: Độ tin cậy và lịch sử giao dịch</w:t>
              <w:br/>
              <w:t>ISS-04: RC-04: Điều phối hàng đợi và thời hạn xử lý</w:t>
            </w:r>
          </w:p>
        </w:tc>
      </w:tr>
      <w:tr>
        <w:trPr>
          <w:cantSplit/>
        </w:trPr>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Kế hoạch hành động cải tiến To-Be</w:t>
            </w:r>
          </w:p>
        </w:tc>
        <w:tc>
          <w:tcPr>
            <w:tcW w:type="dxa" w:w="453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 Chuẩn hóa danh mục dữ liệu và phản hồi lỗi theo trường.</w:t>
              <w:br/>
              <w:t>2. Bổ sung mã yêu cầu duy nhất, phân loại lỗi và gửi lại an toàn.</w:t>
              <w:br/>
              <w:t>3. Thiết lập người phụ trách hàng đợi, thời hạn và cảnh báo.</w:t>
              <w:br/>
              <w:t>4. Tổng hợp lịch sử giao dịch, lịch sử lỗi và trạng thái hàng đợi theo cùng kỳ phân tích.</w:t>
            </w:r>
          </w:p>
        </w:tc>
      </w:tr>
    </w:tbl>
    <w:p>
      <w:pPr>
        <w:keepNext/>
        <w:spacing w:before="160" w:after="40"/>
        <w:jc w:val="center"/>
      </w:pPr>
      <w:r>
        <w:drawing>
          <wp:inline>
            <wp:extent cx="5669280" cy="2681416"/>
            <wp:docPr id="7" name="Picture 7"/>
            <wp:cNvGraphicFramePr>
              <a:graphicFrameLocks noChangeAspect="1"/>
            </wp:cNvGraphicFramePr>
            <a:graphic>
              <a:graphicData uri="http://schemas.openxmlformats.org/drawingml/2006/picture">
                <pic:pic>
                  <pic:nvPicPr>
                    <pic:cNvPr id="0" name="why_tree.png"/>
                    <pic:cNvPicPr/>
                  </pic:nvPicPr>
                  <pic:blipFill>
                    <a:blip r:embed="rId15"/>
                    <a:stretch>
                      <a:fillRect/>
                    </a:stretch>
                  </pic:blipFill>
                  <pic:spPr>
                    <a:xfrm>
                      <a:off x="0" y="0"/>
                      <a:ext cx="5669280" cy="2681416"/>
                    </a:xfrm>
                    <a:prstGeom prst="rect"/>
                  </pic:spPr>
                </pic:pic>
              </a:graphicData>
            </a:graphic>
          </wp:inline>
        </w:drawing>
      </w:r>
    </w:p>
    <w:p>
      <w:pPr>
        <w:spacing w:before="80" w:after="240"/>
        <w:jc w:val="center"/>
      </w:pPr>
      <w:r>
        <w:rPr>
          <w:rFonts w:ascii="Times New Roman" w:hAnsi="Times New Roman"/>
          <w:b/>
          <w:i w:val="0"/>
          <w:color w:val="000000"/>
          <w:sz w:val="22"/>
        </w:rPr>
        <w:t>Hình 4.3: Sơ đồ cây nguyên nhân gốc rễ</w:t>
      </w:r>
    </w:p>
    <w:p>
      <w:pPr>
        <w:pStyle w:val="Heading2"/>
        <w:keepNext/>
        <w:spacing w:before="220" w:after="80"/>
        <w:jc w:val="left"/>
      </w:pPr>
      <w:r>
        <w:rPr>
          <w:rFonts w:ascii="Times New Roman" w:hAnsi="Times New Roman"/>
          <w:b/>
          <w:i w:val="0"/>
          <w:color w:val="000000"/>
          <w:sz w:val="27"/>
        </w:rPr>
        <w:t>4.2. Phân tích định lượng</w:t>
      </w:r>
    </w:p>
    <w:p>
      <w:pPr>
        <w:pStyle w:val="Heading3"/>
        <w:keepNext/>
        <w:spacing w:before="160" w:after="60"/>
        <w:jc w:val="left"/>
      </w:pPr>
      <w:r>
        <w:rPr>
          <w:rFonts w:ascii="Times New Roman" w:hAnsi="Times New Roman"/>
          <w:b/>
          <w:i w:val="0"/>
          <w:color w:val="000000"/>
          <w:sz w:val="25"/>
        </w:rPr>
        <w:t>4.2.1. Phân tích thời gian</w:t>
      </w:r>
    </w:p>
    <w:p>
      <w:pPr>
        <w:spacing w:before="0" w:after="120" w:line="300" w:lineRule="auto"/>
        <w:jc w:val="both"/>
      </w:pPr>
      <w:r>
        <w:rPr>
          <w:rFonts w:ascii="Times New Roman" w:hAnsi="Times New Roman"/>
          <w:color w:val="000000"/>
          <w:sz w:val="24"/>
        </w:rPr>
        <w:t>Dựa trên mô hình BPMN hiện trạng, nhóm phân tích áp dụng phương pháp phân tích dòng chảy theo ba chiều thời gian, chất lượng và chi phí. Bộ tham số sử dụng trong báo cáo cho PT = 6,53 phút, WT = 2,00 phút và CT = PT + WT = 8,53 phút/đơn; từ đó tính PCE = 76,55%, FPY = 92,00%, tỷ lệ tạo mã = 99,50% và chi phí xử lý bình quân 1.944 VNĐ/đơn. Các giá trị được tính thống nhất theo phạm vi quy trình và công thức trình bày trong các bảng định lượng, làm cơ sở so sánh giữa các bước và xác định hướng cải tiến. Khi triển khai theo một kỳ vận hành cụ thể, các chỉ số được cập nhật từ lịch sử giao dịch, trạng thái OMS/API, thông báo, thời gian chờ và chi phí thực tế của cùng kỳ.</w:t>
      </w:r>
    </w:p>
    <w:p>
      <w:pPr>
        <w:keepNext/>
        <w:spacing w:before="160" w:after="40"/>
        <w:jc w:val="center"/>
      </w:pPr>
      <w:r>
        <w:drawing>
          <wp:inline>
            <wp:extent cx="5852160" cy="3413760"/>
            <wp:docPr id="8" name="Picture 8"/>
            <wp:cNvGraphicFramePr>
              <a:graphicFrameLocks noChangeAspect="1"/>
            </wp:cNvGraphicFramePr>
            <a:graphic>
              <a:graphicData uri="http://schemas.openxmlformats.org/drawingml/2006/picture">
                <pic:pic>
                  <pic:nvPicPr>
                    <pic:cNvPr id="0" name="Quy_trinh_tiep_nhan_don_hang_Quantitative.png"/>
                    <pic:cNvPicPr/>
                  </pic:nvPicPr>
                  <pic:blipFill>
                    <a:blip r:embed="rId16"/>
                    <a:stretch>
                      <a:fillRect/>
                    </a:stretch>
                  </pic:blipFill>
                  <pic:spPr>
                    <a:xfrm>
                      <a:off x="0" y="0"/>
                      <a:ext cx="5852160" cy="3413760"/>
                    </a:xfrm>
                    <a:prstGeom prst="rect"/>
                  </pic:spPr>
                </pic:pic>
              </a:graphicData>
            </a:graphic>
          </wp:inline>
        </w:drawing>
      </w:r>
    </w:p>
    <w:p>
      <w:pPr>
        <w:spacing w:before="80" w:after="240"/>
        <w:jc w:val="center"/>
      </w:pPr>
      <w:r>
        <w:rPr>
          <w:rFonts w:ascii="Times New Roman" w:hAnsi="Times New Roman"/>
          <w:b/>
          <w:i w:val="0"/>
          <w:color w:val="000000"/>
          <w:sz w:val="22"/>
        </w:rPr>
        <w:t>Hình 4.4: Sơ đồ BPMN - Phân tích định lượng quy trình</w:t>
      </w:r>
    </w:p>
    <w:p>
      <w:pPr>
        <w:keepNext/>
        <w:spacing w:before="200" w:after="80"/>
        <w:jc w:val="left"/>
      </w:pPr>
      <w:r>
        <w:rPr>
          <w:rFonts w:ascii="Times New Roman" w:hAnsi="Times New Roman"/>
          <w:b/>
          <w:i w:val="0"/>
          <w:color w:val="000000"/>
          <w:sz w:val="22"/>
        </w:rPr>
        <w:t>Bảng 4.8: Phân tích thời gian</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296"/>
        <w:gridCol w:w="1296"/>
        <w:gridCol w:w="1296"/>
        <w:gridCol w:w="1296"/>
        <w:gridCol w:w="1296"/>
        <w:gridCol w:w="1296"/>
        <w:gridCol w:w="1296"/>
      </w:tblGrid>
      <w:tr>
        <w:trPr>
          <w:cantSplit/>
          <w:tblHeader/>
        </w:trPr>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STT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Hạng mục hoạt động / Vòng lặp quy trình</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Thời gian xử lý PT (phút)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Thời gian chờ WT (phút)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Thời gian chu kỳ CT (phút)</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c>
          <w:tcPr>
            <w:tcW w:type="dxa" w:w="1296"/>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Phương pháp tính toán và Diễn giải căn cứ nghiệp vụ tiếp nhận đơn hàng</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Khai dữ liệu và chọn dịch vụ</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4,00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4,00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Tham số thời gian của bước khai báo và chọn dịch vụ.</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Tiếp nhận yêu cầu tạo đơn</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Tham số kỳ phân tích của kênh tiếp nhận.</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Kiểm tra và chuẩn hóa OMS/API</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0,50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0,50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xử lý kiểm tra và chuẩn hóa dữ liệu.</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4</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Vòng sửa/bổ sung, xác suất 8%</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0,28</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2,28</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PT kỳ vọng = 0,08 x 3,50; WT kỳ vọng = 2,00.</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Ghi nhận đơn điện tử</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ghi nhận giao dịch trong OMS.</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Khởi tạo mã vận đơn</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Thời gian sinh mã và cập nhật trạng thái.</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7</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Gửi xác nhận</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0,25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Thời gian gửi mã vận đơn và thông tin xác nhận.</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Xử lý lỗi tạo đơn</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Theo nhóm lỗi</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Theo nhóm lỗi</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Theo nhóm lỗi</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Tách theo lỗi nghiệp vụ, lỗi kỹ thuật và thao tác gửi lại.</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Đóng yêu cầu bỏ dở/quá thời hạn</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Theo trạng thái</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Theo trạng thái</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Theo trạng thái</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Tính theo thời điểm chuyển trạng thái và thời hạn xử lý.</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10</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Tổng PT kỳ vọng</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6,53</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6,53</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4,00 + 1,00 + 0,50 + 0,28 + 0,25 + 0,25 + 0,25.</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11</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WT kỳ vọng</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Tổng thời gian chờ của vòng bổ sung thông tin.</w:t>
            </w:r>
          </w:p>
        </w:tc>
      </w:tr>
      <w:tr>
        <w:trPr>
          <w:cantSplit/>
        </w:trPr>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12</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Tổng CT kỳ vọng</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6,53</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8,53</w:t>
            </w:r>
          </w:p>
        </w:tc>
        <w:tc>
          <w:tcPr>
            <w:tcW w:type="dxa" w:w="1296"/>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Phút/đơn</w:t>
            </w:r>
          </w:p>
        </w:tc>
        <w:tc>
          <w:tcPr>
            <w:tcW w:type="dxa" w:w="1296"/>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CT = PT + WT.</w:t>
            </w:r>
          </w:p>
        </w:tc>
      </w:tr>
      <w:tr>
        <w:trPr>
          <w:cantSplit/>
        </w:trPr>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13</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PCE</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6,53</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2,00</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76,55%</w:t>
            </w:r>
          </w:p>
        </w:tc>
        <w:tc>
          <w:tcPr>
            <w:tcW w:type="dxa" w:w="1296"/>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i w:val="0"/>
                <w:color w:val="000000"/>
                <w:sz w:val="19"/>
              </w:rPr>
              <w:t>%</w:t>
            </w:r>
          </w:p>
        </w:tc>
        <w:tc>
          <w:tcPr>
            <w:tcW w:type="dxa" w:w="1296"/>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i w:val="0"/>
                <w:color w:val="000000"/>
                <w:sz w:val="19"/>
              </w:rPr>
              <w:t>PCE = PT / CT x 100%.</w:t>
            </w:r>
          </w:p>
        </w:tc>
      </w:tr>
    </w:tbl>
    <w:p>
      <w:pPr>
        <w:pStyle w:val="Heading3"/>
        <w:keepNext/>
        <w:spacing w:before="160" w:after="60"/>
        <w:jc w:val="left"/>
      </w:pPr>
      <w:r>
        <w:rPr>
          <w:rFonts w:ascii="Times New Roman" w:hAnsi="Times New Roman"/>
          <w:b/>
          <w:i w:val="0"/>
          <w:color w:val="000000"/>
          <w:sz w:val="25"/>
        </w:rPr>
        <w:t>4.2.2. Phân tích chất lượng</w:t>
      </w:r>
    </w:p>
    <w:p>
      <w:pPr>
        <w:keepNext/>
        <w:spacing w:before="200" w:after="80"/>
        <w:jc w:val="left"/>
      </w:pPr>
      <w:r>
        <w:rPr>
          <w:rFonts w:ascii="Times New Roman" w:hAnsi="Times New Roman"/>
          <w:b/>
          <w:i w:val="0"/>
          <w:color w:val="000000"/>
          <w:sz w:val="22"/>
        </w:rPr>
        <w:t>Bảng 4.9: Phân tích chất lượng</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Chỉ số chất lượng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Tính toán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Nhận xét</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Khắc phục</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FPY</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9.200 / 10.000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92,00%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8% yêu cầu phát sinh vòng bổ sung trong bộ tham số phân tích.</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Validation theo trường và hướng dẫn nhập rõ hơn.</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Chuẩn hóa địa chỉ thành công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9.700 / 10.000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97,00%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3% yêu cầu cần chuẩn hóa lại dữ liệu địa chỉ.</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Đồng bộ danh mục và quy tắc mapping.</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Tạo mã vận đơn thành công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9.950 / 10.000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99,50%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0,5% yêu cầu rơi vào nhóm lỗi hoặc gửi lại.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Bảo đảm tính duy nhất và xử lý lỗi rõ ràng.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Gửi xác nhận thành công</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9.900 / 10.000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99,00%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 yêu cầu cần gửi lại hoặc hỗ trợ thêm.</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Theo dõi trạng thái gửi và phản hồi.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yêu cầu phải sửa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800 / 10.000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8,00%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lệ vòng bổ sung gắn với lỗi dữ liệu và thao tác thừa.</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Giảm số trường phải nhập lại.</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đơn trùng do retry</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Số đơn trùng / tổng yêu cầu x 100%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Theo dõi theo kỳ</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Tỷ lệ được tính từ các giao dịch gửi lại trong cùng kỳ.</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Mã yêu cầu duy nhất và bộ phát hiện trùng.</w:t>
            </w:r>
          </w:p>
        </w:tc>
      </w:tr>
    </w:tbl>
    <w:p>
      <w:pPr>
        <w:pStyle w:val="Heading3"/>
        <w:keepNext/>
        <w:spacing w:before="160" w:after="60"/>
        <w:jc w:val="left"/>
      </w:pPr>
      <w:r>
        <w:rPr>
          <w:rFonts w:ascii="Times New Roman" w:hAnsi="Times New Roman"/>
          <w:b/>
          <w:i w:val="0"/>
          <w:color w:val="000000"/>
          <w:sz w:val="25"/>
        </w:rPr>
        <w:t>4.2.3. Phân tích chi phí</w:t>
      </w:r>
    </w:p>
    <w:p>
      <w:pPr>
        <w:keepNext/>
        <w:spacing w:before="200" w:after="80"/>
        <w:jc w:val="left"/>
      </w:pPr>
      <w:r>
        <w:rPr>
          <w:rFonts w:ascii="Times New Roman" w:hAnsi="Times New Roman"/>
          <w:b/>
          <w:i w:val="0"/>
          <w:color w:val="000000"/>
          <w:sz w:val="22"/>
        </w:rPr>
        <w:t>Bảng 4.10: Phân tích chi phí</w:t>
      </w:r>
    </w:p>
    <w:tbl>
      <w:tblPr>
        <w:tblW w:type="auto" w:w="0"/>
        <w:jc w:val="center"/>
        <w:tblLook w:firstColumn="1" w:firstRow="1" w:lastColumn="0" w:lastRow="0" w:noHBand="0" w:noVBand="1" w:val="04A0"/>
        <w:tblBorders>
          <w:top w:val="single" w:sz="4" w:space="0" w:color="BDC3C7"/>
          <w:bottom w:val="single" w:sz="4" w:space="0" w:color="BDC3C7"/>
          <w:left w:val="single" w:sz="4" w:space="0" w:color="BDC3C7"/>
          <w:right w:val="single" w:sz="4" w:space="0" w:color="BDC3C7"/>
          <w:insideH w:val="single" w:sz="4" w:space="0" w:color="BDC3C7"/>
          <w:insideV w:val="single" w:sz="4" w:space="0" w:color="BDC3C7"/>
        </w:tblBorders>
        <w:tblCellMar>
          <w:top w:w="80" w:type="dxa"/>
          <w:bottom w:w="80" w:type="dxa"/>
          <w:left w:w="120" w:type="dxa"/>
          <w:right w:w="120" w:type="dxa"/>
        </w:tblCellMar>
      </w:tblPr>
      <w:tblGrid>
        <w:gridCol w:w="1512"/>
        <w:gridCol w:w="1512"/>
        <w:gridCol w:w="1512"/>
        <w:gridCol w:w="1512"/>
        <w:gridCol w:w="1512"/>
        <w:gridCol w:w="1512"/>
      </w:tblGrid>
      <w:tr>
        <w:trPr>
          <w:cantSplit/>
          <w:tblHeader/>
        </w:trPr>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Khoản mục chi phí</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Tính toán</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Kết quả</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Đơn vị đo lường</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Nhận xét</w:t>
            </w:r>
          </w:p>
        </w:tc>
        <w:tc>
          <w:tcPr>
            <w:tcW w:type="dxa" w:w="1512"/>
            <w:vAlign w:val="center"/>
            <w:tcMar>
              <w:top w:w="80" w:type="dxa"/>
              <w:bottom w:w="80" w:type="dxa"/>
              <w:left w:w="120" w:type="dxa"/>
              <w:right w:w="120" w:type="dxa"/>
            </w:tcMar>
            <w:shd w:fill="2C3E50"/>
          </w:tcPr>
          <w:p>
            <w:pPr>
              <w:keepNext/>
              <w:spacing w:before="20" w:after="20" w:line="276" w:lineRule="auto"/>
              <w:jc w:val="center"/>
            </w:pPr>
            <w:r>
              <w:rPr>
                <w:rFonts w:ascii="Times New Roman" w:hAnsi="Times New Roman"/>
                <w:b/>
                <w:i w:val="0"/>
                <w:color w:val="FFFFFF"/>
                <w:sz w:val="20"/>
              </w:rPr>
              <w:t>Khắc phục</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tiếp nhận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1,5/480 x 350.000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1.094</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nhân sự theo thời gian tiếp nhận.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Phân bổ nhân sự theo khối lượng đơn.</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CSKH</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0,08 x 3/480 x 400.000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200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Chi phí vòng xử lý ngoại lệ dự kiến.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Giảm số vòng bổ sung và liên hệ hỗ trợ.</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OMS/API và thông báo</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500 + 150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650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hệ thống và gửi thông báo phân bổ theo 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Tối ưu kết nối và thông báo tự động.</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Tổng chi phí xử lý</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1.094 + 200 + 650</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1.944</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Chưa gồm chi phí chờ.</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val="0"/>
                <w:i w:val="0"/>
                <w:color w:val="000000"/>
                <w:sz w:val="19"/>
              </w:rPr>
              <w:t>Chuẩn hóa allocation rule.</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chờ phản hồi</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2/480 x 375.000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1.563</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VNĐ/đơn</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Chi phí WT kỳ vọng.</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Giảm WT bằng SLA và nhắc việc.</w:t>
            </w:r>
          </w:p>
        </w:tc>
      </w:tr>
      <w:tr>
        <w:trPr>
          <w:cantSplit/>
        </w:trPr>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Tổng chi phí gồm chờ</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1.944 + 1.563</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3.507</w:t>
            </w:r>
          </w:p>
        </w:tc>
        <w:tc>
          <w:tcPr>
            <w:tcW w:type="dxa" w:w="1512"/>
            <w:vAlign w:val="center"/>
            <w:tcMar>
              <w:top w:w="80" w:type="dxa"/>
              <w:bottom w:w="80" w:type="dxa"/>
              <w:left w:w="120" w:type="dxa"/>
              <w:right w:w="120" w:type="dxa"/>
            </w:tcMar>
            <w:shd w:fill="F8F9FA"/>
          </w:tcPr>
          <w:p>
            <w:pPr>
              <w:spacing w:before="20" w:after="20" w:line="276" w:lineRule="auto"/>
              <w:jc w:val="center"/>
            </w:pPr>
            <w:r>
              <w:rPr>
                <w:rFonts w:ascii="Times New Roman" w:hAnsi="Times New Roman"/>
                <w:b/>
                <w:i w:val="0"/>
                <w:color w:val="000000"/>
                <w:sz w:val="19"/>
              </w:rPr>
              <w:t>VNĐ/đơn</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Tổng chi phí xử lý và thời gian chờ theo bộ tham số.</w:t>
            </w:r>
          </w:p>
        </w:tc>
        <w:tc>
          <w:tcPr>
            <w:tcW w:type="dxa" w:w="1512"/>
            <w:vAlign w:val="center"/>
            <w:tcMar>
              <w:top w:w="80" w:type="dxa"/>
              <w:bottom w:w="80" w:type="dxa"/>
              <w:left w:w="120" w:type="dxa"/>
              <w:right w:w="120" w:type="dxa"/>
            </w:tcMar>
            <w:shd w:fill="F8F9FA"/>
          </w:tcPr>
          <w:p>
            <w:pPr>
              <w:spacing w:before="20" w:after="20" w:line="276" w:lineRule="auto"/>
              <w:jc w:val="left"/>
            </w:pPr>
            <w:r>
              <w:rPr>
                <w:rFonts w:ascii="Times New Roman" w:hAnsi="Times New Roman"/>
                <w:b/>
                <w:i w:val="0"/>
                <w:color w:val="000000"/>
                <w:sz w:val="19"/>
              </w:rPr>
              <w:t>Giảm thời gian chờ và vòng xử lý lại.</w:t>
            </w:r>
          </w:p>
        </w:tc>
      </w:tr>
      <w:tr>
        <w:trPr>
          <w:cantSplit/>
        </w:trPr>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Hiệu suất chi phí</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1.944 / 3.507 x 100%</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55,43%</w:t>
            </w:r>
          </w:p>
        </w:tc>
        <w:tc>
          <w:tcPr>
            <w:tcW w:type="dxa" w:w="1512"/>
            <w:vAlign w:val="center"/>
            <w:tcMar>
              <w:top w:w="80" w:type="dxa"/>
              <w:bottom w:w="80" w:type="dxa"/>
              <w:left w:w="120" w:type="dxa"/>
              <w:right w:w="120" w:type="dxa"/>
            </w:tcMar>
            <w:shd w:fill="FFFFFF"/>
          </w:tcPr>
          <w:p>
            <w:pPr>
              <w:spacing w:before="20" w:after="20" w:line="276" w:lineRule="auto"/>
              <w:jc w:val="center"/>
            </w:pPr>
            <w:r>
              <w:rPr>
                <w:rFonts w:ascii="Times New Roman" w:hAnsi="Times New Roman"/>
                <w:b w:val="0"/>
                <w:i w:val="0"/>
                <w:color w:val="000000"/>
                <w:sz w:val="19"/>
              </w:rPr>
              <w:t>%</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Tỷ trọng chi phí xử lý trong tổng chi phí.</w:t>
            </w:r>
          </w:p>
        </w:tc>
        <w:tc>
          <w:tcPr>
            <w:tcW w:type="dxa" w:w="1512"/>
            <w:vAlign w:val="center"/>
            <w:tcMar>
              <w:top w:w="80" w:type="dxa"/>
              <w:bottom w:w="80" w:type="dxa"/>
              <w:left w:w="120" w:type="dxa"/>
              <w:right w:w="120" w:type="dxa"/>
            </w:tcMar>
            <w:shd w:fill="FFFFFF"/>
          </w:tcPr>
          <w:p>
            <w:pPr>
              <w:spacing w:before="20" w:after="20" w:line="276" w:lineRule="auto"/>
              <w:jc w:val="left"/>
            </w:pPr>
            <w:r>
              <w:rPr>
                <w:rFonts w:ascii="Times New Roman" w:hAnsi="Times New Roman"/>
                <w:b w:val="0"/>
                <w:i w:val="0"/>
                <w:color w:val="000000"/>
                <w:sz w:val="19"/>
              </w:rPr>
              <w:t>Giảm chi phí chờ và rework.</w:t>
            </w:r>
          </w:p>
        </w:tc>
      </w:tr>
    </w:tbl>
    <w:p>
      <w:pPr>
        <w:pStyle w:val="Heading1"/>
        <w:keepNext/>
        <w:spacing w:before="280" w:after="120"/>
        <w:jc w:val="left"/>
      </w:pPr>
      <w:r>
        <w:rPr>
          <w:rFonts w:ascii="Times New Roman" w:hAnsi="Times New Roman"/>
          <w:b/>
          <w:i w:val="0"/>
          <w:color w:val="000000"/>
          <w:sz w:val="30"/>
        </w:rPr>
        <w:t>5. Tài liệu tham khảo</w:t>
      </w:r>
    </w:p>
    <w:p>
      <w:pPr>
        <w:spacing w:before="0" w:after="80" w:line="300" w:lineRule="auto"/>
        <w:ind w:left="720" w:hanging="720"/>
        <w:jc w:val="left"/>
      </w:pPr>
      <w:r>
        <w:rPr>
          <w:rFonts w:ascii="Times New Roman" w:hAnsi="Times New Roman"/>
          <w:i w:val="0"/>
          <w:color w:val="000000"/>
          <w:sz w:val="24"/>
        </w:rPr>
        <w:t xml:space="preserve">[1] M. Dumas, M. La Rosa, J. Mendling, and H. A. Reijers, </w:t>
      </w:r>
      <w:r>
        <w:rPr>
          <w:rFonts w:ascii="Times New Roman" w:hAnsi="Times New Roman"/>
          <w:i/>
          <w:color w:val="000000"/>
          <w:sz w:val="24"/>
        </w:rPr>
        <w:t>Fundamentals of Business Process Management</w:t>
      </w:r>
      <w:r>
        <w:rPr>
          <w:rFonts w:ascii="Times New Roman" w:hAnsi="Times New Roman"/>
          <w:i w:val="0"/>
          <w:color w:val="000000"/>
          <w:sz w:val="24"/>
        </w:rPr>
        <w:t>, 2nd ed., Springer, 2018. Cơ sở phương pháp cho khám phá, mô tả, phân tích và cải tiến quy trình.</w:t>
      </w:r>
    </w:p>
    <w:p>
      <w:pPr>
        <w:spacing w:before="0" w:after="80" w:line="300" w:lineRule="auto"/>
        <w:ind w:left="720" w:hanging="720"/>
        <w:jc w:val="left"/>
      </w:pPr>
      <w:r>
        <w:rPr>
          <w:rFonts w:ascii="Times New Roman" w:hAnsi="Times New Roman"/>
          <w:i w:val="0"/>
          <w:color w:val="000000"/>
          <w:sz w:val="24"/>
        </w:rPr>
        <w:t xml:space="preserve">[2] M. Weske, </w:t>
      </w:r>
      <w:r>
        <w:rPr>
          <w:rFonts w:ascii="Times New Roman" w:hAnsi="Times New Roman"/>
          <w:i/>
          <w:color w:val="000000"/>
          <w:sz w:val="24"/>
        </w:rPr>
        <w:t>Business Process Management: Concepts, Languages, Architectures</w:t>
      </w:r>
      <w:r>
        <w:rPr>
          <w:rFonts w:ascii="Times New Roman" w:hAnsi="Times New Roman"/>
          <w:i w:val="0"/>
          <w:color w:val="000000"/>
          <w:sz w:val="24"/>
        </w:rPr>
        <w:t>, 3rd ed., Springer, 2019. Cơ sở lý thuyết về quản trị quy trình và mô hình hóa hoạt động nghiệp vụ.</w:t>
      </w:r>
    </w:p>
    <w:p>
      <w:pPr>
        <w:spacing w:before="0" w:after="80" w:line="300" w:lineRule="auto"/>
        <w:ind w:left="720" w:hanging="720"/>
        <w:jc w:val="left"/>
      </w:pPr>
      <w:r>
        <w:rPr>
          <w:rFonts w:ascii="Times New Roman" w:hAnsi="Times New Roman"/>
          <w:i w:val="0"/>
          <w:color w:val="000000"/>
          <w:sz w:val="24"/>
        </w:rPr>
        <w:t>[3] Tài liệu học phần IE203 gồm chap01.pdf đến chap08.pdf, rule-buoi6.pdf trang 1-8, rubric-ocr.md và các tài liệu bài giảng liên quan trong thư mục môn học. Căn cứ cho cách trình bày, VAA, Waste, 5 Why và phân tích định lượng.</w:t>
      </w:r>
    </w:p>
    <w:p>
      <w:pPr>
        <w:spacing w:before="0" w:after="80" w:line="300" w:lineRule="auto"/>
        <w:ind w:left="720" w:hanging="720"/>
        <w:jc w:val="left"/>
      </w:pPr>
      <w:r>
        <w:rPr>
          <w:rFonts w:ascii="Times New Roman" w:hAnsi="Times New Roman"/>
          <w:i w:val="0"/>
          <w:color w:val="000000"/>
          <w:sz w:val="24"/>
        </w:rPr>
        <w:t xml:space="preserve">[4] Object Management Group, </w:t>
      </w:r>
      <w:r>
        <w:rPr>
          <w:rFonts w:ascii="Times New Roman" w:hAnsi="Times New Roman"/>
          <w:i/>
          <w:color w:val="000000"/>
          <w:sz w:val="24"/>
        </w:rPr>
        <w:t>Business Process Model and Notation (BPMN), Version 2.0.2</w:t>
      </w:r>
      <w:r>
        <w:rPr>
          <w:rFonts w:ascii="Times New Roman" w:hAnsi="Times New Roman"/>
          <w:i w:val="0"/>
          <w:color w:val="000000"/>
          <w:sz w:val="24"/>
        </w:rPr>
        <w:t>: https://www.omg.org/spec/BPMN/2.0.2/ và https://www.omg.org/spec/BPMN/2.0.2/PDF. Căn cứ cho ký hiệu và nguyên tắc mô hình hóa BPMN.</w:t>
      </w:r>
    </w:p>
    <w:p>
      <w:pPr>
        <w:spacing w:before="0" w:after="80" w:line="300" w:lineRule="auto"/>
        <w:ind w:left="720" w:hanging="720"/>
        <w:jc w:val="left"/>
      </w:pPr>
      <w:r>
        <w:rPr>
          <w:rFonts w:ascii="Times New Roman" w:hAnsi="Times New Roman"/>
          <w:i w:val="0"/>
          <w:color w:val="000000"/>
          <w:sz w:val="24"/>
        </w:rPr>
        <w:t>[5] Viettel Post, trang tạo đơn Tomato Box: https://viettelpost.vn/viettelpost-iframe/tao-don-tomato. Căn cứ tham khảo cho các trường thông tin và trình tự khách hàng khai báo trên kênh công khai.</w:t>
      </w:r>
    </w:p>
    <w:p>
      <w:pPr>
        <w:spacing w:before="0" w:after="80" w:line="300" w:lineRule="auto"/>
        <w:ind w:left="720" w:hanging="720"/>
        <w:jc w:val="left"/>
      </w:pPr>
      <w:r>
        <w:rPr>
          <w:rFonts w:ascii="Times New Roman" w:hAnsi="Times New Roman"/>
          <w:i w:val="0"/>
          <w:color w:val="000000"/>
          <w:sz w:val="24"/>
        </w:rPr>
        <w:t>[6] Viettel Post Partner, cổng Open API: https://partner2.viettelpost.vn/. Căn cứ tham khảo cho khả năng kết nối tạo đơn, theo dõi hành trình và đồng bộ trạng thái vận chuyển.</w:t>
      </w:r>
    </w:p>
    <w:p>
      <w:pPr>
        <w:spacing w:before="0" w:after="80" w:line="300" w:lineRule="auto"/>
        <w:ind w:left="720" w:hanging="720"/>
        <w:jc w:val="left"/>
      </w:pPr>
      <w:r>
        <w:rPr>
          <w:rFonts w:ascii="Times New Roman" w:hAnsi="Times New Roman"/>
          <w:i w:val="0"/>
          <w:color w:val="000000"/>
          <w:sz w:val="24"/>
        </w:rPr>
        <w:t>[7] Viettel Post, Frequently Asked Questions: https://en.viettelpost.com.vn/frequently-asked-questions. Căn cứ cho hướng dẫn khách hàng về kênh tạo đơn, thời điểm lấy hàng, mã vận đơn, thông báo và điều kiện tiếp nhận.</w:t>
      </w:r>
    </w:p>
    <w:p>
      <w:pPr>
        <w:spacing w:before="0" w:after="80" w:line="300" w:lineRule="auto"/>
        <w:ind w:left="720" w:hanging="720"/>
        <w:jc w:val="left"/>
      </w:pPr>
      <w:r>
        <w:rPr>
          <w:rFonts w:ascii="Times New Roman" w:hAnsi="Times New Roman"/>
          <w:i w:val="0"/>
          <w:color w:val="000000"/>
          <w:sz w:val="24"/>
        </w:rPr>
        <w:t>[8] Chính phủ Việt Nam, Luật Bưu chính số 49/2010/QH12: https://vanban.chinhphu.vn/?classid=0&amp;docid=216910&amp;pageid=27160. Căn cứ pháp lý cho hoạt động cung cấp dịch vụ bưu chính và thông tin bưu gửi.</w:t>
      </w:r>
    </w:p>
    <w:p>
      <w:pPr>
        <w:spacing w:before="0" w:after="80" w:line="300" w:lineRule="auto"/>
        <w:ind w:left="720" w:hanging="720"/>
        <w:jc w:val="left"/>
      </w:pPr>
      <w:r>
        <w:rPr>
          <w:rFonts w:ascii="Times New Roman" w:hAnsi="Times New Roman"/>
          <w:i w:val="0"/>
          <w:color w:val="000000"/>
          <w:sz w:val="24"/>
        </w:rPr>
        <w:t>[9] Viettel Post, Điều khoản sử dụng dịch vụ: https://viettelpost.com.vn/dieu-khoan-su-dung/. Căn cứ tham khảo cho quan hệ sử dụng dịch vụ và trách nhiệm của các bên.</w:t>
      </w:r>
    </w:p>
    <w:p>
      <w:pPr>
        <w:spacing w:before="0" w:after="80" w:line="300" w:lineRule="auto"/>
        <w:ind w:left="720" w:hanging="720"/>
        <w:jc w:val="left"/>
      </w:pPr>
      <w:r>
        <w:rPr>
          <w:rFonts w:ascii="Times New Roman" w:hAnsi="Times New Roman"/>
          <w:i w:val="0"/>
          <w:color w:val="000000"/>
          <w:sz w:val="24"/>
        </w:rPr>
        <w:t>[10] Viettel Post, Quy trình giải quyết khiếu nại: https://viettelpost.com.vn/wp-content/uploads/2023/12/Quy-trinh-giai-quyet-khieu-nai-trinh.pdf. Căn cứ tham khảo cho tiếp nhận, phân loại và chuyển xử lý các trường hợp phát sinh sau khi tạo đơn.</w:t>
      </w:r>
    </w:p>
    <w:p>
      <w:pPr>
        <w:spacing w:before="0" w:after="80" w:line="300" w:lineRule="auto"/>
        <w:ind w:left="720" w:hanging="720"/>
        <w:jc w:val="left"/>
      </w:pPr>
      <w:r>
        <w:rPr>
          <w:rFonts w:ascii="Times New Roman" w:hAnsi="Times New Roman"/>
          <w:i w:val="0"/>
          <w:color w:val="000000"/>
          <w:sz w:val="24"/>
        </w:rPr>
        <w:t>[11] Viettel Post, tài liệu giới thiệu kết nối hệ thống và đồng bộ trạng thái trên cổng Partner. Căn cứ tham khảo cho luồng trao đổi giữa kênh tiếp nhận, hệ thống đơn hàng và công đoạn vận chuyển tiếp theo.</w:t>
      </w:r>
    </w:p>
    <w:p>
      <w:pPr>
        <w:spacing w:before="0" w:after="80" w:line="300" w:lineRule="auto"/>
        <w:ind w:left="720" w:hanging="720"/>
        <w:jc w:val="left"/>
      </w:pPr>
      <w:r>
        <w:rPr>
          <w:rFonts w:ascii="Times New Roman" w:hAnsi="Times New Roman"/>
          <w:i w:val="0"/>
          <w:color w:val="000000"/>
          <w:sz w:val="24"/>
        </w:rPr>
        <w:t>[12] GHN, tài liệu API công khai về tạo đơn và trạng thái vận chuyển. Cấu trúc dữ liệu tương đồng được sử dụng để tham khảo cách tổ chức thông tin người gửi, người nhận, hàng hóa, COD, dịch vụ, mã đơn và trạng thái.</w:t>
      </w:r>
    </w:p>
    <w:p>
      <w:pPr>
        <w:spacing w:before="0" w:after="80" w:line="300" w:lineRule="auto"/>
        <w:ind w:left="720" w:hanging="720"/>
        <w:jc w:val="left"/>
      </w:pPr>
      <w:r>
        <w:rPr>
          <w:rFonts w:ascii="Times New Roman" w:hAnsi="Times New Roman"/>
          <w:i w:val="0"/>
          <w:color w:val="000000"/>
          <w:sz w:val="24"/>
        </w:rPr>
        <w:t>[13] Dữ liệu vận hành của quy trình gồm lịch sử OMS/API, giao dịch tạo mã, trạng thái thông báo, hàng đợi xử lý, ticket hỗ trợ, bảng chi phí và nội dung trao đổi với các nhóm tác nhân. Đây là căn cứ cập nhật các chỉ số PT, WT, CT, chất lượng và chi phí theo từng kỳ.</w:t>
      </w:r>
    </w:p>
    <w:p>
      <w:pPr>
        <w:spacing w:before="0" w:after="80" w:line="300" w:lineRule="auto"/>
        <w:ind w:left="720" w:hanging="720"/>
        <w:jc w:val="left"/>
      </w:pPr>
      <w:r>
        <w:rPr>
          <w:rFonts w:ascii="Times New Roman" w:hAnsi="Times New Roman"/>
          <w:i w:val="0"/>
          <w:color w:val="000000"/>
          <w:sz w:val="24"/>
        </w:rPr>
        <w:t>[14] Hồ sơ phương pháp và nguồn tham khảo được tổng hợp tại thư mục research_order_intake_20260825, gồm báo cáo nguồn Viettel Post, nguồn pháp lý và kiểm tra khả năng truy cập tài liệu; các kết quả được dùng để cập nhật nội dung và danh mục tham khảo của quy trình.</w:t>
      </w:r>
    </w:p>
    <w:sectPr w:rsidR="00FC693F" w:rsidRPr="0006063C" w:rsidSect="00034616">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Quy trình tiếp nhận đơn hàng</dc:title>
  <dc:subject>IE203 - Báo cáo mô tả, mô hình hóa và phân tích quy trình</dc:subject>
  <dc:creator>Nguyễn Thanh Duy - 25410194</dc:creator>
  <cp:keywords/>
  <dc:description>Generated from order-intake SSOT using the IE203 reference report generator pattern.</dc:description>
  <cp:lastModifiedBy/>
  <cp:revision>1</cp:revision>
  <dcterms:created xsi:type="dcterms:W3CDTF">2013-12-23T23:15:00Z</dcterms:created>
  <dcterms:modified xsi:type="dcterms:W3CDTF">2013-12-23T23:15:00Z</dcterms:modified>
  <cp:category/>
</cp:coreProperties>
</file>