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280" w:after="120"/>
        <w:jc w:val="left"/>
      </w:pPr>
      <w:r>
        <w:rPr>
          <w:rFonts w:ascii="Times New Roman" w:hAnsi="Times New Roman"/>
          <w:b/>
          <w:i w:val="0"/>
          <w:color w:val="000000"/>
          <w:sz w:val="30"/>
        </w:rPr>
        <w:t>1. Mô tả quy trình</w:t>
      </w:r>
    </w:p>
    <w:p>
      <w:pPr>
        <w:keepNext/>
        <w:spacing w:before="200" w:after="80"/>
        <w:jc w:val="left"/>
      </w:pPr>
      <w:r>
        <w:rPr>
          <w:rFonts w:ascii="Times New Roman" w:hAnsi="Times New Roman"/>
          <w:b/>
          <w:i w:val="0"/>
          <w:color w:val="000000"/>
          <w:sz w:val="22"/>
        </w:rPr>
        <w:t>Bảng 1.1: Thông tin quy trình</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4536"/>
        <w:gridCol w:w="4536"/>
      </w:tblGrid>
      <w:tr>
        <w:trPr>
          <w:cantSplit/>
          <w:tblHeader/>
        </w:trPr>
        <w:tc>
          <w:tcPr>
            <w:tcW w:type="dxa" w:w="4536"/>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Thuộc tính</w:t>
            </w:r>
          </w:p>
        </w:tc>
        <w:tc>
          <w:tcPr>
            <w:tcW w:type="dxa" w:w="4536"/>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Thông tin chi tiết</w:t>
            </w:r>
          </w:p>
        </w:tc>
      </w:tr>
      <w:tr>
        <w:trPr>
          <w:cantSplit/>
        </w:trPr>
        <w:tc>
          <w:tcPr>
            <w:tcW w:type="dxa" w:w="453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Tên quy trình</w:t>
            </w:r>
          </w:p>
        </w:tc>
        <w:tc>
          <w:tcPr>
            <w:tcW w:type="dxa" w:w="453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Quy trình tiếp nhận đơn hàng (Order Intake)</w:t>
            </w:r>
          </w:p>
        </w:tc>
      </w:tr>
      <w:tr>
        <w:trPr>
          <w:cantSplit/>
        </w:trPr>
        <w:tc>
          <w:tcPr>
            <w:tcW w:type="dxa" w:w="453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Đơn vị chủ quản và các bên tham gia</w:t>
            </w:r>
          </w:p>
        </w:tc>
        <w:tc>
          <w:tcPr>
            <w:tcW w:type="dxa" w:w="453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Chủ trì: Kênh tiếp nhận/Nhân viên và Hệ thống OMS/API; phối hợp: Khách hàng/Đối tác và CSKH/Xử lý ngoại lệ; đầu ra phục vụ Bộ phận nhận hàng/Thu gom.</w:t>
            </w:r>
          </w:p>
        </w:tc>
      </w:tr>
      <w:tr>
        <w:trPr>
          <w:cantSplit/>
        </w:trPr>
        <w:tc>
          <w:tcPr>
            <w:tcW w:type="dxa" w:w="453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Sự kiện bắt đầu</w:t>
            </w:r>
          </w:p>
        </w:tc>
        <w:tc>
          <w:tcPr>
            <w:tcW w:type="dxa" w:w="453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Khách hàng/Đối tác gửi yêu cầu tạo đơn qua website, ứng dụng ViettelPost, Open API hoặc tại điểm giao dịch.</w:t>
            </w:r>
          </w:p>
        </w:tc>
      </w:tr>
      <w:tr>
        <w:trPr>
          <w:cantSplit/>
        </w:trPr>
        <w:tc>
          <w:tcPr>
            <w:tcW w:type="dxa" w:w="453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Đối tượng khách hàng của quy trình</w:t>
            </w:r>
          </w:p>
        </w:tc>
        <w:tc>
          <w:tcPr>
            <w:tcW w:type="dxa" w:w="453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Khách hàng/Đối tác nhận mã vận đơn; Bộ phận nhận hàng/Thu gom sử dụng mã để đối chiếu khi tiếp nhận bưu gửi vật lý.</w:t>
            </w:r>
          </w:p>
        </w:tc>
      </w:tr>
      <w:tr>
        <w:trPr>
          <w:cantSplit/>
        </w:trPr>
        <w:tc>
          <w:tcPr>
            <w:tcW w:type="dxa" w:w="453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Mục tiêu của quy trình</w:t>
            </w:r>
          </w:p>
        </w:tc>
        <w:tc>
          <w:tcPr>
            <w:tcW w:type="dxa" w:w="453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Tiếp nhận đa kênh, chuẩn hóa dữ liệu đầu vào, giảm vòng sửa, tạo mã vận đơn thống nhất và chuyển đơn sang nhận hàng. Kỳ phân tích minh họa: CT = 8,53 phút, PCE = 76,55%.</w:t>
            </w:r>
          </w:p>
        </w:tc>
      </w:tr>
    </w:tbl>
    <w:p>
      <w:pPr>
        <w:pStyle w:val="Heading2"/>
        <w:keepNext/>
        <w:spacing w:before="220" w:after="80"/>
        <w:jc w:val="left"/>
      </w:pPr>
      <w:r>
        <w:rPr>
          <w:rFonts w:ascii="Times New Roman" w:hAnsi="Times New Roman"/>
          <w:b/>
          <w:i w:val="0"/>
          <w:color w:val="000000"/>
          <w:sz w:val="27"/>
        </w:rPr>
        <w:t>1.1. Kiến trúc quy trình</w:t>
      </w:r>
    </w:p>
    <w:p>
      <w:pPr>
        <w:spacing w:before="0" w:after="120" w:line="300" w:lineRule="auto"/>
        <w:jc w:val="both"/>
      </w:pPr>
      <w:r>
        <w:rPr>
          <w:rFonts w:ascii="Times New Roman" w:hAnsi="Times New Roman"/>
          <w:color w:val="000000"/>
          <w:sz w:val="24"/>
        </w:rPr>
        <w:t>Sơ đồ kiến trúc quy trình thể hiện tuần tự các khối công đoạn chính trong quy trình tiếp nhận đơn hàng và vị trí của quy trình trong chuỗi cung ứng dịch vụ chuyển phát.</w:t>
      </w:r>
    </w:p>
    <w:p>
      <w:pPr>
        <w:keepNext/>
        <w:keepLines/>
        <w:spacing w:before="160" w:after="40"/>
        <w:jc w:val="center"/>
      </w:pPr>
      <w:r>
        <w:drawing>
          <wp:inline xmlns:a="http://schemas.openxmlformats.org/drawingml/2006/main" xmlns:pic="http://schemas.openxmlformats.org/drawingml/2006/picture">
            <wp:extent cx="5669280" cy="1008940"/>
            <wp:docPr id="1" name="Picture 1"/>
            <wp:cNvGraphicFramePr>
              <a:graphicFrameLocks noChangeAspect="1"/>
            </wp:cNvGraphicFramePr>
            <a:graphic>
              <a:graphicData uri="http://schemas.openxmlformats.org/drawingml/2006/picture">
                <pic:pic>
                  <pic:nvPicPr>
                    <pic:cNvPr id="0" name="chevron.png"/>
                    <pic:cNvPicPr/>
                  </pic:nvPicPr>
                  <pic:blipFill>
                    <a:blip r:embed="rId9"/>
                    <a:stretch>
                      <a:fillRect/>
                    </a:stretch>
                  </pic:blipFill>
                  <pic:spPr>
                    <a:xfrm>
                      <a:off x="0" y="0"/>
                      <a:ext cx="5669280" cy="1008940"/>
                    </a:xfrm>
                    <a:prstGeom prst="rect"/>
                  </pic:spPr>
                </pic:pic>
              </a:graphicData>
            </a:graphic>
          </wp:inline>
        </w:drawing>
      </w:r>
    </w:p>
    <w:p>
      <w:pPr>
        <w:keepLines/>
        <w:spacing w:before="80" w:after="240"/>
        <w:jc w:val="center"/>
      </w:pPr>
      <w:r>
        <w:rPr>
          <w:rFonts w:ascii="Times New Roman" w:hAnsi="Times New Roman"/>
          <w:b/>
          <w:i w:val="0"/>
          <w:color w:val="000000"/>
          <w:sz w:val="22"/>
        </w:rPr>
        <w:t>Hình 1.1: Sơ đồ kiến trúc quy trình</w:t>
      </w:r>
    </w:p>
    <w:p>
      <w:pPr>
        <w:pStyle w:val="Heading2"/>
        <w:keepNext/>
        <w:spacing w:before="220" w:after="80"/>
        <w:jc w:val="left"/>
      </w:pPr>
      <w:r>
        <w:rPr>
          <w:rFonts w:ascii="Times New Roman" w:hAnsi="Times New Roman"/>
          <w:b/>
          <w:i w:val="0"/>
          <w:color w:val="000000"/>
          <w:sz w:val="27"/>
        </w:rPr>
        <w:t>1.2. Các bước thực hiện</w:t>
      </w:r>
    </w:p>
    <w:p>
      <w:pPr>
        <w:keepNext/>
        <w:spacing w:before="200" w:after="80"/>
        <w:jc w:val="left"/>
      </w:pPr>
      <w:r>
        <w:rPr>
          <w:rFonts w:ascii="Times New Roman" w:hAnsi="Times New Roman"/>
          <w:b/>
          <w:i w:val="0"/>
          <w:color w:val="000000"/>
          <w:sz w:val="22"/>
        </w:rPr>
        <w:t>Bảng 1.2: Các bước của quy trình</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2268"/>
        <w:gridCol w:w="2268"/>
        <w:gridCol w:w="2268"/>
        <w:gridCol w:w="2268"/>
      </w:tblGrid>
      <w:tr>
        <w:trPr>
          <w:cantSplit/>
          <w:tblHeader/>
        </w:trPr>
        <w:tc>
          <w:tcPr>
            <w:tcW w:type="dxa" w:w="2268"/>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Bước</w:t>
            </w:r>
          </w:p>
        </w:tc>
        <w:tc>
          <w:tcPr>
            <w:tcW w:type="dxa" w:w="2268"/>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Tên bước</w:t>
            </w:r>
          </w:p>
        </w:tc>
        <w:tc>
          <w:tcPr>
            <w:tcW w:type="dxa" w:w="2268"/>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Tác nhân thực hiện</w:t>
            </w:r>
          </w:p>
        </w:tc>
        <w:tc>
          <w:tcPr>
            <w:tcW w:type="dxa" w:w="2268"/>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Mô tả chi tiết</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Bước 1</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Khai thông tin người gửi/người nhận</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Khách hàng / Đối tác</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Nhập họ tên, số điện thoại và địa chỉ người gửi/người nhận.</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Bước 2</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Khai hàng hóa, COD và chọn dịch vụ</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Khách hàng / Đối tác</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Nhập hàng hóa, giá trị, khối lượng, kích thước, COD, ghi chú và chọn dịch vụ.</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Bước 3</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Tiếp nhận yêu cầu tạo đơn</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Kênh tiếp nhận / Nhân viên</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Tiếp nhận từ website, ứng dụng, Open API hoặc quầy giao dịch và chuyển vào OMS/API.</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Bước 4</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Kiểm tra trường bắt buộc và định dạng</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Hệ thống OMS / API</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Kiểm tra dữ liệu bắt buộc, số điện thoại, địa chỉ, hàng hóa, COD, khối lượng và dịch vụ.</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Bước 5</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Chuẩn hóa địa chỉ và dữ liệu</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Hệ thống OMS / API</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Chuẩn hóa địa chỉ theo danh mục hành chính và kiểm tra sự phù hợp với dịch vụ.</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Bước 6</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Sửa/bổ sung thông tin nếu cần</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Khách hàng / Đối tác / CSKH / Xử lý ngoại lệ</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Nếu không hợp lệ, gửi yêu cầu bổ sung; khách hàng sửa và gửi lại hoặc dừng yêu cầu.</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Bước 7</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Ghi nhận đơn điện tử</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Hệ thống OMS / API</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Tạo bản ghi đơn điện tử khi dữ liệu đã hợp lệ.</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Bước 8</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Khởi tạo mã vận đơn</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Hệ thống OMS / API</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Sinh mã vận đơn duy nhất và cập nhật trạng thái tạo đơn.</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Bước 9</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Gửi thông báo xác nhận</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Kênh tiếp nhận / Nhân viên</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Gửi mã vận đơn, dịch vụ, cước phí và trạng thái; chuyển sang nhận bưu gửi.</w:t>
            </w:r>
          </w:p>
        </w:tc>
      </w:tr>
    </w:tbl>
    <w:p>
      <w:pPr>
        <w:pStyle w:val="Heading2"/>
        <w:keepNext/>
        <w:spacing w:before="220" w:after="80"/>
        <w:jc w:val="left"/>
      </w:pPr>
      <w:r>
        <w:rPr>
          <w:rFonts w:ascii="Times New Roman" w:hAnsi="Times New Roman"/>
          <w:b/>
          <w:i w:val="0"/>
          <w:color w:val="000000"/>
          <w:sz w:val="27"/>
        </w:rPr>
        <w:t>1.3. Các kết quả có thể xảy ra</w:t>
      </w:r>
    </w:p>
    <w:p>
      <w:pPr>
        <w:keepNext/>
        <w:spacing w:before="200" w:after="80"/>
        <w:jc w:val="left"/>
      </w:pPr>
      <w:r>
        <w:rPr>
          <w:rFonts w:ascii="Times New Roman" w:hAnsi="Times New Roman"/>
          <w:b/>
          <w:i w:val="0"/>
          <w:color w:val="000000"/>
          <w:sz w:val="22"/>
        </w:rPr>
        <w:t>Bảng 1.3: Các kết quả có thể xảy ra</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3024"/>
        <w:gridCol w:w="3024"/>
        <w:gridCol w:w="3024"/>
      </w:tblGrid>
      <w:tr>
        <w:trPr>
          <w:cantSplit/>
          <w:tblHeader/>
        </w:trPr>
        <w:tc>
          <w:tcPr>
            <w:tcW w:type="dxa" w:w="302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Nhóm kết quả</w:t>
            </w:r>
          </w:p>
        </w:tc>
        <w:tc>
          <w:tcPr>
            <w:tcW w:type="dxa" w:w="302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Kết quả cụ thể</w:t>
            </w:r>
          </w:p>
        </w:tc>
        <w:tc>
          <w:tcPr>
            <w:tcW w:type="dxa" w:w="302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Mô tả chi tiết và kịch bản kết thúc</w:t>
            </w:r>
          </w:p>
        </w:tc>
      </w:tr>
      <w:tr>
        <w:trPr>
          <w:cantSplit/>
        </w:trPr>
        <w:tc>
          <w:tcPr>
            <w:tcW w:type="dxa" w:w="302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Tích cực</w:t>
            </w:r>
          </w:p>
        </w:tc>
        <w:tc>
          <w:tcPr>
            <w:tcW w:type="dxa" w:w="302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Đơn hợp lệ được ghi nhận</w:t>
            </w:r>
          </w:p>
        </w:tc>
        <w:tc>
          <w:tcPr>
            <w:tcW w:type="dxa" w:w="302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OMS ghi nhận đơn điện tử, khởi tạo mã vận đơn và gửi xác nhận cho khách hàng/đối tác.</w:t>
            </w:r>
          </w:p>
        </w:tc>
      </w:tr>
      <w:tr>
        <w:trPr>
          <w:cantSplit/>
        </w:trPr>
        <w:tc>
          <w:tcPr>
            <w:tcW w:type="dxa" w:w="302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Tích cực</w:t>
            </w:r>
          </w:p>
        </w:tc>
        <w:tc>
          <w:tcPr>
            <w:tcW w:type="dxa" w:w="302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Đơn chuyển sang nhận bưu gửi</w:t>
            </w:r>
          </w:p>
        </w:tc>
        <w:tc>
          <w:tcPr>
            <w:tcW w:type="dxa" w:w="302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Bộ phận nhận hàng/thu gom dùng mã vận đơn để đối chiếu khi nhận bưu gửi vật lý.</w:t>
            </w:r>
          </w:p>
        </w:tc>
      </w:tr>
      <w:tr>
        <w:trPr>
          <w:cantSplit/>
        </w:trPr>
        <w:tc>
          <w:tcPr>
            <w:tcW w:type="dxa" w:w="302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Ngoại lệ</w:t>
            </w:r>
          </w:p>
        </w:tc>
        <w:tc>
          <w:tcPr>
            <w:tcW w:type="dxa" w:w="302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Yêu cầu cần bổ sung</w:t>
            </w:r>
          </w:p>
        </w:tc>
        <w:tc>
          <w:tcPr>
            <w:tcW w:type="dxa" w:w="302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Trả đúng trường lỗi để khách hàng/đối tác sửa và gửi lại.</w:t>
            </w:r>
          </w:p>
        </w:tc>
      </w:tr>
      <w:tr>
        <w:trPr>
          <w:cantSplit/>
        </w:trPr>
        <w:tc>
          <w:tcPr>
            <w:tcW w:type="dxa" w:w="302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Ngoại lệ</w:t>
            </w:r>
          </w:p>
        </w:tc>
        <w:tc>
          <w:tcPr>
            <w:tcW w:type="dxa" w:w="302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Lỗi kỹ thuật</w:t>
            </w:r>
          </w:p>
        </w:tc>
        <w:tc>
          <w:tcPr>
            <w:tcW w:type="dxa" w:w="302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CSKH kiểm tra nhật ký giao dịch và phối hợp xử lý để tạo lại đơn.</w:t>
            </w:r>
          </w:p>
        </w:tc>
      </w:tr>
      <w:tr>
        <w:trPr>
          <w:cantSplit/>
        </w:trPr>
        <w:tc>
          <w:tcPr>
            <w:tcW w:type="dxa" w:w="302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Kết thúc không hoàn tất</w:t>
            </w:r>
          </w:p>
        </w:tc>
        <w:tc>
          <w:tcPr>
            <w:tcW w:type="dxa" w:w="302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Yêu cầu bị đóng</w:t>
            </w:r>
          </w:p>
        </w:tc>
        <w:tc>
          <w:tcPr>
            <w:tcW w:type="dxa" w:w="302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Đóng khi khách hàng dừng thao tác hoặc không tiếp tục bổ sung thông tin.</w:t>
            </w:r>
          </w:p>
        </w:tc>
      </w:tr>
    </w:tbl>
    <w:p>
      <w:pPr>
        <w:pStyle w:val="Heading1"/>
        <w:keepNext/>
        <w:spacing w:before="280" w:after="120"/>
        <w:jc w:val="left"/>
      </w:pPr>
      <w:r>
        <w:rPr>
          <w:rFonts w:ascii="Times New Roman" w:hAnsi="Times New Roman"/>
          <w:b/>
          <w:i w:val="0"/>
          <w:color w:val="000000"/>
          <w:sz w:val="30"/>
        </w:rPr>
        <w:t>2. Phương pháp thực hiện</w:t>
      </w:r>
    </w:p>
    <w:p>
      <w:pPr>
        <w:pStyle w:val="Heading2"/>
        <w:keepNext/>
        <w:spacing w:before="220" w:after="80"/>
        <w:jc w:val="left"/>
      </w:pPr>
      <w:r>
        <w:rPr>
          <w:rFonts w:ascii="Times New Roman" w:hAnsi="Times New Roman"/>
          <w:b/>
          <w:i w:val="0"/>
          <w:color w:val="000000"/>
          <w:sz w:val="27"/>
        </w:rPr>
        <w:t>2.1. Dựa trên bằng chứng</w:t>
      </w:r>
    </w:p>
    <w:p>
      <w:pPr>
        <w:spacing w:before="0" w:after="120" w:line="300" w:lineRule="auto"/>
        <w:jc w:val="both"/>
      </w:pPr>
      <w:r>
        <w:rPr>
          <w:rFonts w:ascii="Times New Roman" w:hAnsi="Times New Roman"/>
          <w:color w:val="000000"/>
          <w:sz w:val="24"/>
        </w:rPr>
        <w:t>Báo cáo sử dụng tài liệu DOCX và sơ đồ BPMN làm nguồn trực tiếp. Các hình minh họa tổ chức, kế hoạch, chevron, VAA, Waste, 5 Why và Quantitative được tạo lại theo cùng format generator của tài liệu mẫu, nhưng nội dung được custom cho quy trình tiếp nhận đơn hàng. Các số liệu kỳ phân tích được đánh dấu rõ khi chưa có log hoặc biên bản xác nhận.</w:t>
      </w:r>
    </w:p>
    <w:p>
      <w:pPr>
        <w:keepNext/>
        <w:spacing w:before="200" w:after="80"/>
        <w:jc w:val="left"/>
      </w:pPr>
      <w:r>
        <w:rPr>
          <w:rFonts w:ascii="Times New Roman" w:hAnsi="Times New Roman"/>
          <w:b/>
          <w:i w:val="0"/>
          <w:color w:val="000000"/>
          <w:sz w:val="22"/>
        </w:rPr>
        <w:t>Bảng 2.1: Danh mục tài liệu và minh chứng quy trình</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1814"/>
        <w:gridCol w:w="1814"/>
        <w:gridCol w:w="1814"/>
        <w:gridCol w:w="1814"/>
        <w:gridCol w:w="1814"/>
      </w:tblGrid>
      <w:tr>
        <w:trPr>
          <w:cantSplit/>
          <w:tblHeader/>
        </w:trPr>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Mã minh chứng</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Tên tài liệu / Minh chứng</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Loại tài liệu</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Nguồn / đơn vị</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Mục đích sử dụng</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MC-01</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Tài liệu DOCX quy trình tiếp nhận đơn hàng</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Mô tả nghiệp vụ</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Người thực hiện cung cấp</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Nguồn trực tiếp cho phạm vi, tác nhân, bước và chỉ số phân tích.</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MC-02</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Sơ đồ BPMN tiếp nhận đơn hàng</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Mô hình trực quan</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Nhúng trong tài liệu gốc</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Kiểm tra pool/lane, task, event, gateway, sequence flow và message flow.</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MC-03</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Sơ đồ tổ chức và phân bổ trách nhiệm</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Minh chứng mô hình hóa</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Custom theo actor trong tài liệu</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Đối chiếu actor với lane và trách nhiệm vận hành.</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MC-04</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Kế hoạch xử lý và phân bổ nhiệm vụ</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Minh chứng vận hành</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Tham số kỳ phân tích</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Mô tả kênh, thời điểm, SLA và đầu ra kiểm soát.</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MC-05</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Log OMS/API và dữ liệu giao dịch</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Dữ liệu vận hành</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Chưa cung cấp</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Cần để xác thực PT/WT/CT, FPY và tỷ lệ tạo mã.</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MC-06</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Biên bản phỏng vấn/workshop</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Bằng chứng định tính</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Chưa cung cấp</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Cần để xác thực quy tắc ngoại lệ và nguyên nhân gốc.</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MC-07</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Biểu mẫu tạo đơn, bổ sung, xác nhận và xử lý lỗi</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Biểu mẫu nghiệp vụ</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Mô hình hóa từ mô tả</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Theo dõi dữ liệu vào/ra của từng nhánh.</w:t>
            </w:r>
          </w:p>
        </w:tc>
      </w:tr>
    </w:tbl>
    <w:p>
      <w:pPr>
        <w:pStyle w:val="Heading3"/>
        <w:keepNext/>
        <w:spacing w:before="160" w:after="60"/>
        <w:jc w:val="left"/>
      </w:pPr>
      <w:r>
        <w:rPr>
          <w:rFonts w:ascii="Times New Roman" w:hAnsi="Times New Roman"/>
          <w:b/>
          <w:i w:val="0"/>
          <w:color w:val="000000"/>
          <w:sz w:val="25"/>
        </w:rPr>
        <w:t>2.1.1. Sơ đồ tổ chức</w:t>
      </w:r>
    </w:p>
    <w:p>
      <w:pPr>
        <w:spacing w:before="0" w:after="120" w:line="300" w:lineRule="auto"/>
        <w:jc w:val="both"/>
      </w:pPr>
      <w:r>
        <w:rPr>
          <w:rFonts w:ascii="Times New Roman" w:hAnsi="Times New Roman"/>
          <w:color w:val="000000"/>
          <w:sz w:val="24"/>
        </w:rPr>
        <w:t>Sơ đồ tổ chức dưới đây là phân bổ trách nhiệm vận hành theo actor/lane của quy trình, không thay thế cho sơ đồ tổ chức pháp lý hoặc quyết định phân công chính thức của doanh nghiệp.</w:t>
      </w:r>
    </w:p>
    <w:p>
      <w:pPr>
        <w:keepNext/>
        <w:keepLines/>
        <w:spacing w:before="160" w:after="40"/>
        <w:jc w:val="center"/>
      </w:pPr>
      <w:r>
        <w:drawing>
          <wp:inline xmlns:a="http://schemas.openxmlformats.org/drawingml/2006/main" xmlns:pic="http://schemas.openxmlformats.org/drawingml/2006/picture">
            <wp:extent cx="5669280" cy="2040941"/>
            <wp:docPr id="2" name="Picture 2"/>
            <wp:cNvGraphicFramePr>
              <a:graphicFrameLocks noChangeAspect="1"/>
            </wp:cNvGraphicFramePr>
            <a:graphic>
              <a:graphicData uri="http://schemas.openxmlformats.org/drawingml/2006/picture">
                <pic:pic>
                  <pic:nvPicPr>
                    <pic:cNvPr id="0" name="org_chart.png"/>
                    <pic:cNvPicPr/>
                  </pic:nvPicPr>
                  <pic:blipFill>
                    <a:blip r:embed="rId10"/>
                    <a:stretch>
                      <a:fillRect/>
                    </a:stretch>
                  </pic:blipFill>
                  <pic:spPr>
                    <a:xfrm>
                      <a:off x="0" y="0"/>
                      <a:ext cx="5669280" cy="2040941"/>
                    </a:xfrm>
                    <a:prstGeom prst="rect"/>
                  </pic:spPr>
                </pic:pic>
              </a:graphicData>
            </a:graphic>
          </wp:inline>
        </w:drawing>
      </w:r>
    </w:p>
    <w:p>
      <w:pPr>
        <w:keepLines/>
        <w:spacing w:before="80" w:after="240"/>
        <w:jc w:val="center"/>
      </w:pPr>
      <w:r>
        <w:rPr>
          <w:rFonts w:ascii="Times New Roman" w:hAnsi="Times New Roman"/>
          <w:b/>
          <w:i w:val="0"/>
          <w:color w:val="000000"/>
          <w:sz w:val="22"/>
        </w:rPr>
        <w:t>Hình 2.1: Sơ đồ tổ chức bộ phận thực hiện quy trình tiếp nhận đơn hàng</w:t>
      </w:r>
    </w:p>
    <w:p>
      <w:pPr>
        <w:pStyle w:val="Heading3"/>
        <w:keepNext/>
        <w:spacing w:before="160" w:after="60"/>
        <w:jc w:val="left"/>
      </w:pPr>
      <w:r>
        <w:rPr>
          <w:rFonts w:ascii="Times New Roman" w:hAnsi="Times New Roman"/>
          <w:b/>
          <w:i w:val="0"/>
          <w:color w:val="000000"/>
          <w:sz w:val="25"/>
        </w:rPr>
        <w:t>2.1.2. Kế hoạch làm việc</w:t>
      </w:r>
    </w:p>
    <w:p>
      <w:pPr>
        <w:spacing w:before="0" w:after="120" w:line="300" w:lineRule="auto"/>
        <w:jc w:val="both"/>
      </w:pPr>
      <w:r>
        <w:rPr>
          <w:rFonts w:ascii="Times New Roman" w:hAnsi="Times New Roman"/>
          <w:color w:val="000000"/>
          <w:sz w:val="24"/>
        </w:rPr>
        <w:t>Kế hoạch làm việc thể hiện kênh tiếp nhận, actor chịu trách nhiệm, thời điểm xử lý, SLA tham số và đầu ra kiểm soát của từng nhóm bước.</w:t>
      </w:r>
    </w:p>
    <w:p>
      <w:pPr>
        <w:keepNext/>
        <w:keepLines/>
        <w:spacing w:before="160" w:after="40"/>
        <w:jc w:val="center"/>
      </w:pPr>
      <w:r>
        <w:drawing>
          <wp:inline xmlns:a="http://schemas.openxmlformats.org/drawingml/2006/main" xmlns:pic="http://schemas.openxmlformats.org/drawingml/2006/picture">
            <wp:extent cx="5669280" cy="2576945"/>
            <wp:docPr id="3" name="Picture 3"/>
            <wp:cNvGraphicFramePr>
              <a:graphicFrameLocks noChangeAspect="1"/>
            </wp:cNvGraphicFramePr>
            <a:graphic>
              <a:graphicData uri="http://schemas.openxmlformats.org/drawingml/2006/picture">
                <pic:pic>
                  <pic:nvPicPr>
                    <pic:cNvPr id="0" name="schedule.png"/>
                    <pic:cNvPicPr/>
                  </pic:nvPicPr>
                  <pic:blipFill>
                    <a:blip r:embed="rId11"/>
                    <a:stretch>
                      <a:fillRect/>
                    </a:stretch>
                  </pic:blipFill>
                  <pic:spPr>
                    <a:xfrm>
                      <a:off x="0" y="0"/>
                      <a:ext cx="5669280" cy="2576945"/>
                    </a:xfrm>
                    <a:prstGeom prst="rect"/>
                  </pic:spPr>
                </pic:pic>
              </a:graphicData>
            </a:graphic>
          </wp:inline>
        </w:drawing>
      </w:r>
    </w:p>
    <w:p>
      <w:pPr>
        <w:keepLines/>
        <w:spacing w:before="80" w:after="240"/>
        <w:jc w:val="center"/>
      </w:pPr>
      <w:r>
        <w:rPr>
          <w:rFonts w:ascii="Times New Roman" w:hAnsi="Times New Roman"/>
          <w:b/>
          <w:i w:val="0"/>
          <w:color w:val="000000"/>
          <w:sz w:val="22"/>
        </w:rPr>
        <w:t>Hình 2.2: Kế hoạch làm việc và phân bổ nhiệm vụ trong quy trình</w:t>
      </w:r>
    </w:p>
    <w:p>
      <w:pPr>
        <w:pStyle w:val="Heading3"/>
        <w:keepNext/>
        <w:spacing w:before="160" w:after="60"/>
        <w:jc w:val="left"/>
      </w:pPr>
      <w:r>
        <w:rPr>
          <w:rFonts w:ascii="Times New Roman" w:hAnsi="Times New Roman"/>
          <w:b/>
          <w:i w:val="0"/>
          <w:color w:val="000000"/>
          <w:sz w:val="25"/>
        </w:rPr>
        <w:t>2.1.3. Thuật ngữ và sổ tay</w:t>
      </w:r>
    </w:p>
    <w:p>
      <w:pPr>
        <w:spacing w:before="0" w:after="120" w:line="300" w:lineRule="auto"/>
        <w:jc w:val="both"/>
      </w:pPr>
      <w:r>
        <w:rPr>
          <w:rFonts w:ascii="Times New Roman" w:hAnsi="Times New Roman"/>
          <w:color w:val="000000"/>
          <w:sz w:val="24"/>
        </w:rPr>
        <w:t>Hệ thống thuật ngữ chuyên môn, chỉ số đo lường và khung phân tích VA/Waste được chuẩn hóa để bảo đảm cách hiểu nhất quán khi review BPMN và phân tích vận hành.</w:t>
      </w:r>
    </w:p>
    <w:p>
      <w:pPr>
        <w:keepNext/>
        <w:spacing w:before="200" w:after="80"/>
        <w:jc w:val="left"/>
      </w:pPr>
      <w:r>
        <w:rPr>
          <w:rFonts w:ascii="Times New Roman" w:hAnsi="Times New Roman"/>
          <w:b/>
          <w:i w:val="0"/>
          <w:color w:val="000000"/>
          <w:sz w:val="22"/>
        </w:rPr>
        <w:t>Bảng 2.2: Thuật ngữ và sổ tay của quy trình</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2268"/>
        <w:gridCol w:w="2268"/>
        <w:gridCol w:w="2268"/>
        <w:gridCol w:w="2268"/>
      </w:tblGrid>
      <w:tr>
        <w:trPr>
          <w:cantSplit/>
          <w:tblHeader/>
        </w:trPr>
        <w:tc>
          <w:tcPr>
            <w:tcW w:type="dxa" w:w="2268"/>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Thuật ngữ</w:t>
            </w:r>
          </w:p>
        </w:tc>
        <w:tc>
          <w:tcPr>
            <w:tcW w:type="dxa" w:w="2268"/>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Định nghĩa áp dụng</w:t>
            </w:r>
          </w:p>
        </w:tc>
        <w:tc>
          <w:tcPr>
            <w:tcW w:type="dxa" w:w="2268"/>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Liên hệ với quy trình</w:t>
            </w:r>
          </w:p>
        </w:tc>
        <w:tc>
          <w:tcPr>
            <w:tcW w:type="dxa" w:w="2268"/>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Nguồn / trạng thái</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OMS/API</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Hệ thống tiếp nhận và xử lý dữ liệu đơn hàng qua hệ thống nội bộ hoặc API.</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Kiểm tra, chuẩn hóa, ghi nhận đơn và tạo mã.</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Mô tả quy trình; cần xác nhận hệ thống</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COD</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Giá trị tiền thu hộ gắn với bưu gửi.</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Trường dữ liệu phải được kiểm tra trước khi ghi nhận.</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Mô tả quy trình</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VA/BVA/NVA</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Phân loại hoạt động tạo giá trị, cần cho vận hành hoặc không tạo giá trị.</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Dùng trong bảng VAA và ưu tiên cải tiến.</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Phương pháp phân tích</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PT/WT/CT</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Processing Time / Waiting Time / Cycle Time.</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CT = PT + WT trong phạm vi kỳ phân tích.</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Tham số tài liệu</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FPY/FTR</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Tỷ lệ đúng ngay lần đầu / hoàn tất đúng ngay lần đầu.</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Đo chất lượng dữ liệu đầu vào.</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Tham số tài liệu</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Hold/Move/Over-do</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Chờ, chuyển giao và làm thừa.</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Nhóm lãng phí trong phân tích Waste.</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Phương pháp phân tích</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Message flow</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Trao đổi giữa các participant/pool khác nhau.</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Yêu cầu tạo đơn, bổ sung và xác nhận.</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BPMN notation</w:t>
            </w:r>
          </w:p>
        </w:tc>
      </w:tr>
    </w:tbl>
    <w:p>
      <w:pPr>
        <w:pStyle w:val="Heading3"/>
        <w:keepNext/>
        <w:spacing w:before="160" w:after="60"/>
        <w:jc w:val="left"/>
      </w:pPr>
      <w:r>
        <w:rPr>
          <w:rFonts w:ascii="Times New Roman" w:hAnsi="Times New Roman"/>
          <w:b/>
          <w:i w:val="0"/>
          <w:color w:val="000000"/>
          <w:sz w:val="25"/>
        </w:rPr>
        <w:t>2.1.4. Biểu mẫu nghiệp vụ</w:t>
      </w:r>
    </w:p>
    <w:p>
      <w:pPr>
        <w:spacing w:before="0" w:after="120" w:line="300" w:lineRule="auto"/>
        <w:jc w:val="both"/>
      </w:pPr>
      <w:r>
        <w:rPr>
          <w:rFonts w:ascii="Times New Roman" w:hAnsi="Times New Roman"/>
          <w:color w:val="000000"/>
          <w:sz w:val="24"/>
        </w:rPr>
        <w:t>Các biểu mẫu được mô hình hóa theo dữ liệu vào/ra thể hiện trong sơ đồ BPMN. Khi có template nghiệp vụ chính thức, các biểu mẫu đề xuất phải được đối chiếu lại với phiên bản được ban hành.</w:t>
      </w:r>
    </w:p>
    <w:p>
      <w:pPr>
        <w:keepNext/>
        <w:spacing w:before="200" w:after="80"/>
        <w:jc w:val="left"/>
      </w:pPr>
      <w:r>
        <w:rPr>
          <w:rFonts w:ascii="Times New Roman" w:hAnsi="Times New Roman"/>
          <w:b/>
          <w:i w:val="0"/>
          <w:color w:val="000000"/>
          <w:sz w:val="22"/>
        </w:rPr>
        <w:t>Bảng 2.3: Danh mục biểu mẫu nghiệp vụ</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1814"/>
        <w:gridCol w:w="1814"/>
        <w:gridCol w:w="1814"/>
        <w:gridCol w:w="1814"/>
        <w:gridCol w:w="1814"/>
      </w:tblGrid>
      <w:tr>
        <w:trPr>
          <w:cantSplit/>
          <w:tblHeader/>
        </w:trPr>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Mã</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Tên biểu mẫu</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Bước sử dụng</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Dữ liệu chính</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Trạng thái</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BM-01</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Phiếu/thông tin tạo đơn điện tử</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Bước 1-3</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Người gửi, người nhận, hàng hóa, COD, dịch vụ</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Mô hình hóa từ mô tả</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BM-02</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Thông báo yêu cầu bổ sung</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Bước 6</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Trường lỗi, hướng dẫn sửa, mã yêu cầu</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Mô hình hóa từ message flow</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BM-03</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Thông báo xác nhận và mã vận đơn</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Bước 9</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Mã vận đơn, dịch vụ, cước, trạng thái</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Mô hình hóa từ output</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BM-04</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Phiếu xử lý lỗi tạo đơn</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Nhánh lỗi kỹ thuật</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Error code, log giao dịch, kết quả tạo lại</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Mô hình hóa từ exception flow</w:t>
            </w:r>
          </w:p>
        </w:tc>
      </w:tr>
    </w:tbl>
    <w:p>
      <w:pPr>
        <w:pStyle w:val="Heading2"/>
        <w:keepNext/>
        <w:spacing w:before="220" w:after="80"/>
        <w:jc w:val="left"/>
      </w:pPr>
      <w:r>
        <w:rPr>
          <w:rFonts w:ascii="Times New Roman" w:hAnsi="Times New Roman"/>
          <w:b/>
          <w:i w:val="0"/>
          <w:color w:val="000000"/>
          <w:sz w:val="27"/>
        </w:rPr>
        <w:t>2.2. Phỏng vấn</w:t>
      </w:r>
    </w:p>
    <w:p>
      <w:pPr>
        <w:spacing w:before="0" w:after="120" w:line="300" w:lineRule="auto"/>
        <w:jc w:val="both"/>
      </w:pPr>
      <w:r>
        <w:rPr>
          <w:rFonts w:ascii="Times New Roman" w:hAnsi="Times New Roman"/>
          <w:color w:val="000000"/>
          <w:sz w:val="24"/>
        </w:rPr>
        <w:t>Theo phương pháp khai phá quy trình, phỏng vấn được dùng để xác thực quy tắc ngầm, ngoại lệ, trách nhiệm và nguyên nhân vận hành. Tài liệu hiện tại chưa kèm bản ghi phỏng vấn; các bảng dưới đây là protocol và ma trận cần thực hiện, không phải bằng chứng phỏng vấn đã hoàn tất.</w:t>
      </w:r>
    </w:p>
    <w:p>
      <w:pPr>
        <w:keepNext/>
        <w:spacing w:before="200" w:after="80"/>
        <w:jc w:val="left"/>
      </w:pPr>
      <w:r>
        <w:rPr>
          <w:rFonts w:ascii="Times New Roman" w:hAnsi="Times New Roman"/>
          <w:b/>
          <w:i w:val="0"/>
          <w:color w:val="000000"/>
          <w:sz w:val="22"/>
        </w:rPr>
        <w:t>Bảng 2.4: Đối chiếu actor, BPMN và đối tượng phỏng vấn</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1814"/>
        <w:gridCol w:w="1814"/>
        <w:gridCol w:w="1814"/>
        <w:gridCol w:w="1814"/>
        <w:gridCol w:w="1814"/>
      </w:tblGrid>
      <w:tr>
        <w:trPr>
          <w:cantSplit/>
          <w:tblHeader/>
        </w:trPr>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Actor</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Vai trò trong quy trình</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Lane / participant</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Đối tượng cần phỏng vấn</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Trạng thái</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Khách hàng / Đối tác</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Khởi tạo, bổ sung dữ liệu và nhận xác nhận.</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Participant bên ngoài</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Người gửi/đối tác tạo đơn</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Chưa phỏng vấn</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Kênh tiếp nhận / Nhân viên</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Tiếp nhận đa kênh và gửi kết quả.</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Lane Intake</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Nhân viên/quản trị kênh</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Chưa phỏng vấn</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Hệ thống OMS / API</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Kiểm tra, chuẩn hóa, ghi nhận và tạo mã.</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Lane OMS</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Owner OMS/API</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Chưa có log/xác nhận</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CSKH / Xử lý ngoại lệ</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Tiếp nhận lỗi và phối hợp tạo lại.</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Lane Exception</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Nhân viên CSKH</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Chưa phỏng vấn</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Bộ phận nhận hàng / Thu gom</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Sử dụng mã vận đơn ở quy trình kế tiếp.</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Khách hàng nội bộ</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Nhân viên nhận hàng</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Ngoài boundary trực tiếp</w:t>
            </w:r>
          </w:p>
        </w:tc>
      </w:tr>
    </w:tbl>
    <w:p>
      <w:pPr>
        <w:pStyle w:val="Heading3"/>
        <w:keepNext/>
        <w:spacing w:before="160" w:after="60"/>
        <w:jc w:val="left"/>
      </w:pPr>
      <w:r>
        <w:rPr>
          <w:rFonts w:ascii="Times New Roman" w:hAnsi="Times New Roman"/>
          <w:b/>
          <w:i w:val="0"/>
          <w:color w:val="000000"/>
          <w:sz w:val="25"/>
        </w:rPr>
        <w:t>2.2.1. Câu hỏi định tính</w:t>
      </w:r>
    </w:p>
    <w:p>
      <w:pPr>
        <w:spacing w:before="0" w:after="120" w:line="300" w:lineRule="auto"/>
        <w:jc w:val="both"/>
      </w:pPr>
      <w:r>
        <w:rPr>
          <w:rFonts w:ascii="Times New Roman" w:hAnsi="Times New Roman"/>
          <w:color w:val="000000"/>
          <w:sz w:val="24"/>
        </w:rPr>
        <w:t>Bộ câu hỏi định tính gồm câu hỏi có cấu trúc để kiểm chứng rule và câu hỏi mở để tìm hidden work, ngoại lệ hoặc lãng phí chưa thể hiện trên sơ đồ.</w:t>
      </w:r>
    </w:p>
    <w:p>
      <w:pPr>
        <w:keepNext/>
        <w:spacing w:before="200" w:after="80"/>
        <w:jc w:val="left"/>
      </w:pPr>
      <w:r>
        <w:rPr>
          <w:rFonts w:ascii="Times New Roman" w:hAnsi="Times New Roman"/>
          <w:b/>
          <w:i w:val="0"/>
          <w:color w:val="000000"/>
          <w:sz w:val="22"/>
        </w:rPr>
        <w:t>Bảng 2.5: Danh sách câu hỏi định tính có cấu trúc</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2268"/>
        <w:gridCol w:w="2268"/>
        <w:gridCol w:w="2268"/>
        <w:gridCol w:w="2268"/>
      </w:tblGrid>
      <w:tr>
        <w:trPr>
          <w:cantSplit/>
          <w:tblHeader/>
        </w:trPr>
        <w:tc>
          <w:tcPr>
            <w:tcW w:type="dxa" w:w="2268"/>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Mã</w:t>
            </w:r>
          </w:p>
        </w:tc>
        <w:tc>
          <w:tcPr>
            <w:tcW w:type="dxa" w:w="2268"/>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Câu hỏi có cấu trúc</w:t>
            </w:r>
          </w:p>
        </w:tc>
        <w:tc>
          <w:tcPr>
            <w:tcW w:type="dxa" w:w="2268"/>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Giả thuyết cần kiểm chứng</w:t>
            </w:r>
          </w:p>
        </w:tc>
        <w:tc>
          <w:tcPr>
            <w:tcW w:type="dxa" w:w="2268"/>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Bằng chứng cần thu thập</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QT-01</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Những trường nào bắt buộc ở từng kênh tạo đơn?</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Rule bắt buộc phải nhất quán Web/App/API.</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Schema/API log/checklist</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QT-02</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Điều kiện nào làm hệ thống yêu cầu bổ sung?</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Gateway kiểm tra dữ liệu có điều kiện rõ.</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Validation result</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QT-03</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Khi nào chuyển CSKH và khi nào retry?</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Ngoại lệ kỹ thuật có escalation rule.</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Incident log/SLA</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QT-04</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Mã vận đơn được tạo và chống trùng thế nào?</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OMS kiểm soát uniqueness.</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Audit log/ID policy</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QT-05</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Đơn chuyển sang nhận hàng bằng trạng thái nào?</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Có output contract giữa hai quy trình.</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Status/message contract</w:t>
            </w:r>
          </w:p>
        </w:tc>
      </w:tr>
    </w:tbl>
    <w:p>
      <w:pPr>
        <w:keepNext/>
        <w:spacing w:before="200" w:after="80"/>
        <w:jc w:val="left"/>
      </w:pPr>
      <w:r>
        <w:rPr>
          <w:rFonts w:ascii="Times New Roman" w:hAnsi="Times New Roman"/>
          <w:b/>
          <w:i w:val="0"/>
          <w:color w:val="000000"/>
          <w:sz w:val="22"/>
        </w:rPr>
        <w:t>Bảng 2.6: Ghi nhận câu trả lời cho câu hỏi định tính có cấu trúc</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1814"/>
        <w:gridCol w:w="1814"/>
        <w:gridCol w:w="1814"/>
        <w:gridCol w:w="1814"/>
        <w:gridCol w:w="1814"/>
      </w:tblGrid>
      <w:tr>
        <w:trPr>
          <w:cantSplit/>
          <w:tblHeader/>
        </w:trPr>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Mã</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Phương án cần so sánh</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Câu trả lời thực tế</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Nghi ngờ / chưa kiểm chứng</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Minh chứng</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QT-01</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Web/App/API dùng chung rule hay mỗi kênh một rule?</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Chưa có dữ liệu phỏng vấn.</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Có thể phát sinh lệch validation giữa các kênh.</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Cần schema và log</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QT-02</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Trả đúng trường lỗi hay trả form tổng quát?</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Chưa có dữ liệu phỏng vấn.</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Form tổng quát có thể tăng vòng sửa.</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Cần screenshot/message</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QT-03</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Tự retry hay chuyển CSKH?</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Chưa có dữ liệu phỏng vấn.</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Thiếu retry policy có thể tạo duplicate.</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Cần incident log</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QT-04</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Tạo mã tại OMS hay kênh tiếp nhận?</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Chưa có dữ liệu phỏng vấn.</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Cần xác định owner của uniqueness.</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Cần API contract</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QT-05</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Chuyển trạng thái tự động hay thủ công?</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Chưa có dữ liệu phỏng vấn.</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Có thể tạo khoảng trống trách nhiệm.</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Cần status log</w:t>
            </w:r>
          </w:p>
        </w:tc>
      </w:tr>
    </w:tbl>
    <w:p>
      <w:pPr>
        <w:keepNext/>
        <w:spacing w:before="200" w:after="80"/>
        <w:jc w:val="left"/>
      </w:pPr>
      <w:r>
        <w:rPr>
          <w:rFonts w:ascii="Times New Roman" w:hAnsi="Times New Roman"/>
          <w:b/>
          <w:i w:val="0"/>
          <w:color w:val="000000"/>
          <w:sz w:val="22"/>
        </w:rPr>
        <w:t>Bảng 2.7: Danh sách câu hỏi định tính không có cấu trúc</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2268"/>
        <w:gridCol w:w="2268"/>
        <w:gridCol w:w="2268"/>
        <w:gridCol w:w="2268"/>
      </w:tblGrid>
      <w:tr>
        <w:trPr>
          <w:cantSplit/>
          <w:tblHeader/>
        </w:trPr>
        <w:tc>
          <w:tcPr>
            <w:tcW w:type="dxa" w:w="2268"/>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Mã</w:t>
            </w:r>
          </w:p>
        </w:tc>
        <w:tc>
          <w:tcPr>
            <w:tcW w:type="dxa" w:w="2268"/>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Câu hỏi mở</w:t>
            </w:r>
          </w:p>
        </w:tc>
        <w:tc>
          <w:tcPr>
            <w:tcW w:type="dxa" w:w="2268"/>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Mục tiêu khám phá</w:t>
            </w:r>
          </w:p>
        </w:tc>
        <w:tc>
          <w:tcPr>
            <w:tcW w:type="dxa" w:w="2268"/>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Trạng thái</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QT-06</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Khách hàng thường gặp khó khăn gì khi nhập thông tin?</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Tìm nguyên nhân UX/dữ liệu.</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Chưa phỏng vấn</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QT-07</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Ngoại lệ nào chưa được thể hiện trên sơ đồ?</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Tìm hidden work và nhánh thiếu.</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Chưa phỏng vấn</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QT-08</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Bước nào thường phải làm lại hoặc kiểm tra lại?</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Xác định Waste/NVA.</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Chưa phỏng vấn</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QT-09</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Thông báo lỗi có đủ rõ để tự sửa không?</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Đánh giá feedback loop.</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Chưa phỏng vấn</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QT-10</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Giải pháp nào giảm thời gian chờ và vòng bổ sung?</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Thu thập cải tiến khả thi.</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Chưa phỏng vấn</w:t>
            </w:r>
          </w:p>
        </w:tc>
      </w:tr>
    </w:tbl>
    <w:p>
      <w:pPr>
        <w:pStyle w:val="Heading3"/>
        <w:keepNext/>
        <w:spacing w:before="160" w:after="60"/>
        <w:jc w:val="left"/>
      </w:pPr>
      <w:r>
        <w:rPr>
          <w:rFonts w:ascii="Times New Roman" w:hAnsi="Times New Roman"/>
          <w:b/>
          <w:i w:val="0"/>
          <w:color w:val="000000"/>
          <w:sz w:val="25"/>
        </w:rPr>
        <w:t>2.2.2. Câu hỏi định lượng</w:t>
      </w:r>
    </w:p>
    <w:p>
      <w:pPr>
        <w:spacing w:before="0" w:after="120" w:line="300" w:lineRule="auto"/>
        <w:jc w:val="both"/>
      </w:pPr>
      <w:r>
        <w:rPr>
          <w:rFonts w:ascii="Times New Roman" w:hAnsi="Times New Roman"/>
          <w:color w:val="000000"/>
          <w:sz w:val="24"/>
        </w:rPr>
        <w:t>Bộ câu hỏi định lượng xác định công thức, nguồn dữ liệu và trạng thái đối soát của PT, WT, CT, FPY, tỷ lệ tạo mã và chi phí.</w:t>
      </w:r>
    </w:p>
    <w:p>
      <w:pPr>
        <w:keepNext/>
        <w:spacing w:before="200" w:after="80"/>
        <w:jc w:val="left"/>
      </w:pPr>
      <w:r>
        <w:rPr>
          <w:rFonts w:ascii="Times New Roman" w:hAnsi="Times New Roman"/>
          <w:b/>
          <w:i w:val="0"/>
          <w:color w:val="000000"/>
          <w:sz w:val="22"/>
        </w:rPr>
        <w:t>Bảng 2.8: Danh sách câu hỏi định lượng</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1814"/>
        <w:gridCol w:w="1814"/>
        <w:gridCol w:w="1814"/>
        <w:gridCol w:w="1814"/>
        <w:gridCol w:w="1814"/>
      </w:tblGrid>
      <w:tr>
        <w:trPr>
          <w:cantSplit/>
          <w:tblHeader/>
        </w:trPr>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Mã</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Chỉ số</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Cách đo</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Nguồn cần có</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Giá trị kỳ phân tích</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QN-01</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PT</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Tổng thời gian task có xử lý thực tế.</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Timestamp OMS/đo mẫu</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6,53 phút</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QN-02</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WT</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Thời gian chờ bổ sung/phản hồi.</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Timestamp message</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2,00 phút</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QN-03</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CT</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Từ nhận yêu cầu đến gửi xác nhận.</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Event log</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8,53 phút</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QN-04</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FPY</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Đơn hợp lệ ngay lần đầu / tổng yêu cầu.</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Transaction log</w:t>
            </w:r>
          </w:p>
        </w:tc>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92,00%</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QN-05</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Tỷ lệ tạo mã</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Đơn tạo mã thành công / tổng yêu cầu.</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OMS log</w:t>
            </w:r>
          </w:p>
        </w:tc>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99,50%</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QN-06</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Chi phí</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Nhân sự + hệ thống + chi phí chờ.</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Bảng giá/log chi phí</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1.944 VNĐ/đơn trước chờ</w:t>
            </w:r>
          </w:p>
        </w:tc>
      </w:tr>
    </w:tbl>
    <w:p>
      <w:pPr>
        <w:keepNext/>
        <w:spacing w:before="200" w:after="80"/>
        <w:jc w:val="left"/>
      </w:pPr>
      <w:r>
        <w:rPr>
          <w:rFonts w:ascii="Times New Roman" w:hAnsi="Times New Roman"/>
          <w:b/>
          <w:i w:val="0"/>
          <w:color w:val="000000"/>
          <w:sz w:val="22"/>
        </w:rPr>
        <w:t>Bảng 2.9: Ghi nhận câu trả lời cho câu hỏi định lượng có cấu trúc</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2268"/>
        <w:gridCol w:w="2268"/>
        <w:gridCol w:w="2268"/>
        <w:gridCol w:w="2268"/>
      </w:tblGrid>
      <w:tr>
        <w:trPr>
          <w:cantSplit/>
          <w:tblHeader/>
        </w:trPr>
        <w:tc>
          <w:tcPr>
            <w:tcW w:type="dxa" w:w="2268"/>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Mã</w:t>
            </w:r>
          </w:p>
        </w:tc>
        <w:tc>
          <w:tcPr>
            <w:tcW w:type="dxa" w:w="2268"/>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Giá trị báo cáo</w:t>
            </w:r>
          </w:p>
        </w:tc>
        <w:tc>
          <w:tcPr>
            <w:tcW w:type="dxa" w:w="2268"/>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Công thức / cách suy ra</w:t>
            </w:r>
          </w:p>
        </w:tc>
        <w:tc>
          <w:tcPr>
            <w:tcW w:type="dxa" w:w="2268"/>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Trạng thái đối soát</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QN-01</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6,53 phút</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4 + 1 + 0,5 + 0,08 x (3 + 0,5) + 0,25 + 0,25 + 0,25.</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Tính từ tham số tài liệu</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QN-02</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2,00 phút</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Tham số thời gian chờ phản hồi.</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Chưa có log</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QN-03</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8,53 phút</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PT + WT = 6,53 + 2,00.</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Suy ra từ tham số</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QN-04</w:t>
            </w:r>
          </w:p>
        </w:tc>
        <w:tc>
          <w:tcPr>
            <w:tcW w:type="dxa" w:w="2268"/>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92,00%</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9.200 / 10.000 yêu cầu.</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Chưa có dữ liệu giao dịch</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QN-05</w:t>
            </w:r>
          </w:p>
        </w:tc>
        <w:tc>
          <w:tcPr>
            <w:tcW w:type="dxa" w:w="2268"/>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99,50%</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9.950 / 10.000 yêu cầu.</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Chưa có dữ liệu giao dịch</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QN-06</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1.944 VNĐ/đơn</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1.094 + 200 + 650.</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Tính từ tham số tài liệu</w:t>
            </w:r>
          </w:p>
        </w:tc>
      </w:tr>
    </w:tbl>
    <w:p>
      <w:pPr>
        <w:keepNext/>
        <w:spacing w:before="200" w:after="80"/>
        <w:jc w:val="left"/>
      </w:pPr>
      <w:r>
        <w:rPr>
          <w:rFonts w:ascii="Times New Roman" w:hAnsi="Times New Roman"/>
          <w:b/>
          <w:i w:val="0"/>
          <w:color w:val="000000"/>
          <w:sz w:val="22"/>
        </w:rPr>
        <w:t>Bảng 2.10: Danh sách câu hỏi định lượng không có cấu trúc</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2268"/>
        <w:gridCol w:w="2268"/>
        <w:gridCol w:w="2268"/>
        <w:gridCol w:w="2268"/>
      </w:tblGrid>
      <w:tr>
        <w:trPr>
          <w:cantSplit/>
          <w:tblHeader/>
        </w:trPr>
        <w:tc>
          <w:tcPr>
            <w:tcW w:type="dxa" w:w="2268"/>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Mã</w:t>
            </w:r>
          </w:p>
        </w:tc>
        <w:tc>
          <w:tcPr>
            <w:tcW w:type="dxa" w:w="2268"/>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Câu hỏi mở định lượng</w:t>
            </w:r>
          </w:p>
        </w:tc>
        <w:tc>
          <w:tcPr>
            <w:tcW w:type="dxa" w:w="2268"/>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Mục đích</w:t>
            </w:r>
          </w:p>
        </w:tc>
        <w:tc>
          <w:tcPr>
            <w:tcW w:type="dxa" w:w="2268"/>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Trạng thái</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QN-07</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WT phân bổ theo kênh nào và biến động ra sao?</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Tìm điểm nghẽn theo channel.</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Chưa có log</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QN-08</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Tỷ lệ lỗi khác nhau giữa COD, địa chỉ và dịch vụ thế nào?</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Ưu tiên validation.</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Chưa có log</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QN-09</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Bao nhiêu yêu cầu đóng do khách hàng không phản hồi?</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Đo Inventory/Hold.</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Chưa có log</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QN-10</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Chi phí CSKH thay đổi theo loại ngoại lệ thế nào?</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Đo cost of rework.</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Chưa có dữ liệu chi phí</w:t>
            </w:r>
          </w:p>
        </w:tc>
      </w:tr>
    </w:tbl>
    <w:p>
      <w:pPr>
        <w:sectPr>
          <w:pgSz w:w="11909" w:h="16834"/>
          <w:pgMar w:top="1138" w:right="1138" w:bottom="1138" w:left="1699" w:header="720" w:footer="720" w:gutter="0"/>
          <w:cols w:space="720"/>
          <w:docGrid w:linePitch="360"/>
        </w:sectPr>
      </w:pPr>
    </w:p>
    <w:p>
      <w:pPr>
        <w:pStyle w:val="Heading1"/>
        <w:keepNext/>
        <w:spacing w:before="280" w:after="120"/>
        <w:jc w:val="left"/>
      </w:pPr>
      <w:r>
        <w:rPr>
          <w:rFonts w:ascii="Times New Roman" w:hAnsi="Times New Roman"/>
          <w:b/>
          <w:i w:val="0"/>
          <w:color w:val="000000"/>
          <w:sz w:val="30"/>
        </w:rPr>
        <w:t>3. Mô hình hóa quy trình</w:t>
      </w:r>
    </w:p>
    <w:p>
      <w:pPr>
        <w:spacing w:before="0" w:after="120" w:line="300" w:lineRule="auto"/>
        <w:jc w:val="both"/>
      </w:pPr>
      <w:r>
        <w:rPr>
          <w:rFonts w:ascii="Times New Roman" w:hAnsi="Times New Roman"/>
          <w:color w:val="000000"/>
          <w:sz w:val="24"/>
        </w:rPr>
        <w:t>Sơ đồ BPMN dưới đây thể hiện participant Khách hàng/Đối tác, participant Viettel Post với ba lane vận hành, các message flow, gateway kiểm tra hợp lệ, gateway tạo đơn thành công và nhánh xử lý lỗi. Mô hình XML được dựng lại từ SVG/PNG gốc, nội dung DOCX và SSOT; các biến thể phân tích được sinh từ cùng source BPMN và render lại bằng bpmn-js.</w:t>
      </w:r>
    </w:p>
    <w:p>
      <w:pPr>
        <w:keepNext/>
        <w:keepLines/>
        <w:spacing w:before="160" w:after="40"/>
        <w:jc w:val="center"/>
      </w:pPr>
      <w:r>
        <w:drawing>
          <wp:inline xmlns:a="http://schemas.openxmlformats.org/drawingml/2006/main" xmlns:pic="http://schemas.openxmlformats.org/drawingml/2006/picture">
            <wp:extent cx="9418320" cy="4219364"/>
            <wp:docPr id="4" name="Picture 4"/>
            <wp:cNvGraphicFramePr>
              <a:graphicFrameLocks noChangeAspect="1"/>
            </wp:cNvGraphicFramePr>
            <a:graphic>
              <a:graphicData uri="http://schemas.openxmlformats.org/drawingml/2006/picture">
                <pic:pic>
                  <pic:nvPicPr>
                    <pic:cNvPr id="0" name="tiep_nhan_don_hang_cropped.png"/>
                    <pic:cNvPicPr/>
                  </pic:nvPicPr>
                  <pic:blipFill>
                    <a:blip r:embed="rId12"/>
                    <a:stretch>
                      <a:fillRect/>
                    </a:stretch>
                  </pic:blipFill>
                  <pic:spPr>
                    <a:xfrm>
                      <a:off x="0" y="0"/>
                      <a:ext cx="9418320" cy="4219364"/>
                    </a:xfrm>
                    <a:prstGeom prst="rect"/>
                  </pic:spPr>
                </pic:pic>
              </a:graphicData>
            </a:graphic>
          </wp:inline>
        </w:drawing>
      </w:r>
    </w:p>
    <w:p>
      <w:pPr>
        <w:keepLines/>
        <w:spacing w:before="80" w:after="240"/>
        <w:jc w:val="center"/>
      </w:pPr>
      <w:r>
        <w:rPr>
          <w:rFonts w:ascii="Times New Roman" w:hAnsi="Times New Roman"/>
          <w:b/>
          <w:i w:val="0"/>
          <w:color w:val="000000"/>
          <w:sz w:val="22"/>
        </w:rPr>
        <w:t>Hình 3.1: Sơ đồ BPMN quy trình tiếp nhận đơn hàng</w:t>
      </w:r>
    </w:p>
    <w:p>
      <w:pPr>
        <w:sectPr>
          <w:pgSz w:w="16834" w:h="11909" w:orient="landscape"/>
          <w:pgMar w:top="792" w:right="792" w:bottom="792" w:left="792" w:header="720" w:footer="720" w:gutter="0"/>
          <w:cols w:space="720"/>
          <w:docGrid w:linePitch="360"/>
        </w:sectPr>
      </w:pPr>
    </w:p>
    <w:p>
      <w:pPr>
        <w:pStyle w:val="Heading1"/>
        <w:keepNext/>
        <w:spacing w:before="280" w:after="120"/>
        <w:jc w:val="left"/>
      </w:pPr>
      <w:r>
        <w:rPr>
          <w:rFonts w:ascii="Times New Roman" w:hAnsi="Times New Roman"/>
          <w:b/>
          <w:i w:val="0"/>
          <w:color w:val="000000"/>
          <w:sz w:val="30"/>
        </w:rPr>
        <w:t>4. Phân tích quy trình</w:t>
      </w:r>
    </w:p>
    <w:p>
      <w:pPr>
        <w:pStyle w:val="Heading2"/>
        <w:keepNext/>
        <w:spacing w:before="220" w:after="80"/>
        <w:jc w:val="left"/>
      </w:pPr>
      <w:r>
        <w:rPr>
          <w:rFonts w:ascii="Times New Roman" w:hAnsi="Times New Roman"/>
          <w:b/>
          <w:i w:val="0"/>
          <w:color w:val="000000"/>
          <w:sz w:val="27"/>
        </w:rPr>
        <w:t>4.1. Phân tích định tính</w:t>
      </w:r>
    </w:p>
    <w:p>
      <w:pPr>
        <w:pStyle w:val="Heading3"/>
        <w:keepNext/>
        <w:spacing w:before="160" w:after="60"/>
        <w:jc w:val="left"/>
      </w:pPr>
      <w:r>
        <w:rPr>
          <w:rFonts w:ascii="Times New Roman" w:hAnsi="Times New Roman"/>
          <w:b/>
          <w:i w:val="0"/>
          <w:color w:val="000000"/>
          <w:sz w:val="25"/>
        </w:rPr>
        <w:t>4.1.1. Phân tích giá trị gia tăng</w:t>
      </w:r>
    </w:p>
    <w:p>
      <w:pPr>
        <w:keepNext/>
        <w:spacing w:before="200" w:after="80"/>
        <w:jc w:val="left"/>
      </w:pPr>
      <w:r>
        <w:rPr>
          <w:rFonts w:ascii="Times New Roman" w:hAnsi="Times New Roman"/>
          <w:b/>
          <w:i w:val="0"/>
          <w:color w:val="000000"/>
          <w:sz w:val="22"/>
        </w:rPr>
        <w:t>Bảng 4.1: Tiêu chí phân loại giá trị gia tăng</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2268"/>
        <w:gridCol w:w="2268"/>
        <w:gridCol w:w="2268"/>
        <w:gridCol w:w="2268"/>
      </w:tblGrid>
      <w:tr>
        <w:trPr>
          <w:cantSplit/>
          <w:tblHeader/>
        </w:trPr>
        <w:tc>
          <w:tcPr>
            <w:tcW w:type="dxa" w:w="2268"/>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Loại giá trị</w:t>
            </w:r>
          </w:p>
        </w:tc>
        <w:tc>
          <w:tcPr>
            <w:tcW w:type="dxa" w:w="2268"/>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Tiêu chí phân loại</w:t>
            </w:r>
          </w:p>
        </w:tc>
        <w:tc>
          <w:tcPr>
            <w:tcW w:type="dxa" w:w="2268"/>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Ví dụ trong quy trình</w:t>
            </w:r>
          </w:p>
        </w:tc>
        <w:tc>
          <w:tcPr>
            <w:tcW w:type="dxa" w:w="2268"/>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Hướng xử lý</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VA</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Tạo kết quả mà khách hàng cần hoặc là output trực tiếp của dịch vụ.</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Khai dữ liệu cần thiết; ghi nhận đơn; tạo mã; gửi xác nhận.</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Bảo vệ và tối ưu.</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BVA</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Cần cho vận hành, kiểm soát hoặc tuân thủ nhưng không trực tiếp tạo giá trị.</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Tiếp nhận, kiểm tra và chuẩn hóa dữ liệu.</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Chuẩn hóa/tự động hóa.</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NVA</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Không tạo giá trị, phát sinh do lỗi/chờ/làm lại và có thể giảm.</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Sửa/bổ sung, xử lý lỗi tạo lại.</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Loại bỏ nguyên nhân gốc.</w:t>
            </w:r>
          </w:p>
        </w:tc>
      </w:tr>
    </w:tbl>
    <w:p>
      <w:pPr>
        <w:keepNext/>
        <w:spacing w:before="200" w:after="80"/>
        <w:jc w:val="left"/>
      </w:pPr>
      <w:r>
        <w:rPr>
          <w:rFonts w:ascii="Times New Roman" w:hAnsi="Times New Roman"/>
          <w:b/>
          <w:i w:val="0"/>
          <w:color w:val="000000"/>
          <w:sz w:val="22"/>
        </w:rPr>
        <w:t>Bảng 4.2: Danh mục hoạt động và chỉ số phân tích</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1296"/>
        <w:gridCol w:w="1296"/>
        <w:gridCol w:w="1296"/>
        <w:gridCol w:w="1296"/>
        <w:gridCol w:w="1296"/>
        <w:gridCol w:w="1296"/>
        <w:gridCol w:w="1296"/>
      </w:tblGrid>
      <w:tr>
        <w:trPr>
          <w:cantSplit/>
          <w:tblHeader/>
        </w:trPr>
        <w:tc>
          <w:tcPr>
            <w:tcW w:type="dxa" w:w="1296"/>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STT</w:t>
            </w:r>
          </w:p>
        </w:tc>
        <w:tc>
          <w:tcPr>
            <w:tcW w:type="dxa" w:w="1296"/>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Hoạt động</w:t>
            </w:r>
          </w:p>
        </w:tc>
        <w:tc>
          <w:tcPr>
            <w:tcW w:type="dxa" w:w="1296"/>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Actor</w:t>
            </w:r>
          </w:p>
        </w:tc>
        <w:tc>
          <w:tcPr>
            <w:tcW w:type="dxa" w:w="1296"/>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PT (phút)</w:t>
            </w:r>
          </w:p>
        </w:tc>
        <w:tc>
          <w:tcPr>
            <w:tcW w:type="dxa" w:w="1296"/>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WT (phút)</w:t>
            </w:r>
          </w:p>
        </w:tc>
        <w:tc>
          <w:tcPr>
            <w:tcW w:type="dxa" w:w="1296"/>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Loại giá trị</w:t>
            </w:r>
          </w:p>
        </w:tc>
        <w:tc>
          <w:tcPr>
            <w:tcW w:type="dxa" w:w="1296"/>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Điểm kiểm soát</w:t>
            </w:r>
          </w:p>
        </w:tc>
      </w:tr>
      <w:tr>
        <w:trPr>
          <w:cantSplit/>
        </w:trPr>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1</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Khai thông tin người gửi/người nhận</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Khách hàng/Đối tác</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4,00</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0,00</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VA</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Trường bắt buộc và định dạng</w:t>
            </w:r>
          </w:p>
        </w:tc>
      </w:tr>
      <w:tr>
        <w:trPr>
          <w:cantSplit/>
        </w:trPr>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2</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Khai hàng hóa, COD và chọn dịch vụ</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Khách hàng/Đối tác</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0,00*</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0,00</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VA</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COD/khối lượng/dịch vụ</w:t>
            </w:r>
          </w:p>
        </w:tc>
      </w:tr>
      <w:tr>
        <w:trPr>
          <w:cantSplit/>
        </w:trPr>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3</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Tiếp nhận yêu cầu tạo đơn</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Kênh/Nhân viên</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1,00</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0,00</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BVA</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Nguồn Web/App/API/Quầy</w:t>
            </w:r>
          </w:p>
        </w:tc>
      </w:tr>
      <w:tr>
        <w:trPr>
          <w:cantSplit/>
        </w:trPr>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4</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Kiểm tra trường và định dạng</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OMS/API</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0,50</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0,00</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BVA</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Validation</w:t>
            </w:r>
          </w:p>
        </w:tc>
      </w:tr>
      <w:tr>
        <w:trPr>
          <w:cantSplit/>
        </w:trPr>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5</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Chuẩn hóa địa chỉ và dữ liệu</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OMS/API</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0,00*</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0,00</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BVA</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Danh mục hành chính</w:t>
            </w:r>
          </w:p>
        </w:tc>
      </w:tr>
      <w:tr>
        <w:trPr>
          <w:cantSplit/>
        </w:trPr>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6</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Sửa/bổ sung thông tin</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Khách hàng/CSKH</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0,28 kỳ vọng</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2,00</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NVA</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Feedback loop</w:t>
            </w:r>
          </w:p>
        </w:tc>
      </w:tr>
      <w:tr>
        <w:trPr>
          <w:cantSplit/>
        </w:trPr>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7</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Ghi nhận đơn điện tử</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OMS/API</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0,25</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0,00</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VA</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Record created</w:t>
            </w:r>
          </w:p>
        </w:tc>
      </w:tr>
      <w:tr>
        <w:trPr>
          <w:cantSplit/>
        </w:trPr>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8</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Khởi tạo mã vận đơn</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OMS/API</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0,25</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0,00</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VA</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Unique ID</w:t>
            </w:r>
          </w:p>
        </w:tc>
      </w:tr>
      <w:tr>
        <w:trPr>
          <w:cantSplit/>
        </w:trPr>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9</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Gửi thông báo xác nhận</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Kênh/Nhân viên</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0,25</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0,00</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VA</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Message delivered</w:t>
            </w:r>
          </w:p>
        </w:tc>
      </w:tr>
    </w:tbl>
    <w:p>
      <w:pPr>
        <w:keepNext/>
        <w:spacing w:before="200" w:after="80"/>
        <w:jc w:val="left"/>
      </w:pPr>
      <w:r>
        <w:rPr>
          <w:rFonts w:ascii="Times New Roman" w:hAnsi="Times New Roman"/>
          <w:b/>
          <w:i w:val="0"/>
          <w:color w:val="000000"/>
          <w:sz w:val="22"/>
        </w:rPr>
        <w:t>Bảng 4.3: Phân tích giá trị gia tăng theo bước</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1814"/>
        <w:gridCol w:w="1814"/>
        <w:gridCol w:w="1814"/>
        <w:gridCol w:w="1814"/>
        <w:gridCol w:w="1814"/>
      </w:tblGrid>
      <w:tr>
        <w:trPr>
          <w:cantSplit/>
          <w:tblHeader/>
        </w:trPr>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Bước</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Hoạt động</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VA/BVA/NVA</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Lý do</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Cơ hội cải tiến</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1-2</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Khai dữ liệu và chọn dịch vụ</w:t>
            </w:r>
          </w:p>
        </w:tc>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VA</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Khách hàng cần để tạo yêu cầu.</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Gợi ý/validation theo trường.</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3</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Tiếp nhận yêu cầu</w:t>
            </w:r>
          </w:p>
        </w:tc>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BVA</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Cần đưa dữ liệu vào hệ thống.</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API và đồng bộ đa kênh.</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4-5</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Kiểm tra và chuẩn hóa</w:t>
            </w:r>
          </w:p>
        </w:tc>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BVA</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Bảo đảm dữ liệu đủ và dùng được.</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Rule engine dùng chung.</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6</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Sửa/bổ sung</w:t>
            </w:r>
          </w:p>
        </w:tc>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NVA</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Phát sinh do dữ liệu chưa hợp lệ.</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Trả lỗi theo trường, giảm vòng sửa.</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7-9</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Ghi nhận, tạo mã, xác nhận</w:t>
            </w:r>
          </w:p>
        </w:tc>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VA</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Tạo đầu ra khách hàng cần.</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Tự động hóa và idempotency.</w:t>
            </w:r>
          </w:p>
        </w:tc>
      </w:tr>
    </w:tbl>
    <w:p>
      <w:pPr>
        <w:sectPr>
          <w:pgSz w:w="11909" w:h="16834"/>
          <w:pgMar w:top="1138" w:right="1138" w:bottom="1138" w:left="1699" w:header="720" w:footer="720" w:gutter="0"/>
          <w:cols w:space="720"/>
          <w:docGrid w:linePitch="360"/>
        </w:sectPr>
      </w:pPr>
    </w:p>
    <w:p>
      <w:pPr>
        <w:keepNext/>
        <w:keepLines/>
        <w:spacing w:before="160" w:after="40"/>
        <w:jc w:val="center"/>
      </w:pPr>
      <w:r>
        <w:drawing>
          <wp:inline xmlns:a="http://schemas.openxmlformats.org/drawingml/2006/main" xmlns:pic="http://schemas.openxmlformats.org/drawingml/2006/picture">
            <wp:extent cx="9418320" cy="4219364"/>
            <wp:docPr id="5" name="Picture 5"/>
            <wp:cNvGraphicFramePr>
              <a:graphicFrameLocks noChangeAspect="1"/>
            </wp:cNvGraphicFramePr>
            <a:graphic>
              <a:graphicData uri="http://schemas.openxmlformats.org/drawingml/2006/picture">
                <pic:pic>
                  <pic:nvPicPr>
                    <pic:cNvPr id="0" name="tiep_nhan_don_hang_VAA_cropped.png"/>
                    <pic:cNvPicPr/>
                  </pic:nvPicPr>
                  <pic:blipFill>
                    <a:blip r:embed="rId13"/>
                    <a:stretch>
                      <a:fillRect/>
                    </a:stretch>
                  </pic:blipFill>
                  <pic:spPr>
                    <a:xfrm>
                      <a:off x="0" y="0"/>
                      <a:ext cx="9418320" cy="4219364"/>
                    </a:xfrm>
                    <a:prstGeom prst="rect"/>
                  </pic:spPr>
                </pic:pic>
              </a:graphicData>
            </a:graphic>
          </wp:inline>
        </w:drawing>
      </w:r>
    </w:p>
    <w:p>
      <w:pPr>
        <w:keepLines/>
        <w:spacing w:before="80" w:after="240"/>
        <w:jc w:val="center"/>
      </w:pPr>
      <w:r>
        <w:rPr>
          <w:rFonts w:ascii="Times New Roman" w:hAnsi="Times New Roman"/>
          <w:b/>
          <w:i w:val="0"/>
          <w:color w:val="000000"/>
          <w:sz w:val="22"/>
        </w:rPr>
        <w:t>Hình 4.1: Sơ đồ BPMN - Phân tích giá trị gia tăng</w:t>
      </w:r>
    </w:p>
    <w:p>
      <w:pPr>
        <w:sectPr>
          <w:pgSz w:w="16834" w:h="11909" w:orient="landscape"/>
          <w:pgMar w:top="792" w:right="792" w:bottom="792" w:left="792" w:header="720" w:footer="720" w:gutter="0"/>
          <w:cols w:space="720"/>
          <w:docGrid w:linePitch="360"/>
        </w:sectPr>
      </w:pPr>
    </w:p>
    <w:p>
      <w:pPr>
        <w:pStyle w:val="Heading3"/>
        <w:keepNext/>
        <w:spacing w:before="160" w:after="60"/>
        <w:jc w:val="left"/>
      </w:pPr>
      <w:r>
        <w:rPr>
          <w:rFonts w:ascii="Times New Roman" w:hAnsi="Times New Roman"/>
          <w:b/>
          <w:i w:val="0"/>
          <w:color w:val="000000"/>
          <w:sz w:val="25"/>
        </w:rPr>
        <w:t>4.1.2. Phân tích lãng phí</w:t>
      </w:r>
    </w:p>
    <w:p>
      <w:pPr>
        <w:keepNext/>
        <w:spacing w:before="200" w:after="80"/>
        <w:jc w:val="left"/>
      </w:pPr>
      <w:r>
        <w:rPr>
          <w:rFonts w:ascii="Times New Roman" w:hAnsi="Times New Roman"/>
          <w:b/>
          <w:i w:val="0"/>
          <w:color w:val="000000"/>
          <w:sz w:val="22"/>
        </w:rPr>
        <w:t>Bảng 4.4: Phân tích lãng phí</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2268"/>
        <w:gridCol w:w="2268"/>
        <w:gridCol w:w="2268"/>
        <w:gridCol w:w="2268"/>
      </w:tblGrid>
      <w:tr>
        <w:trPr>
          <w:cantSplit/>
          <w:tblHeader/>
        </w:trPr>
        <w:tc>
          <w:tcPr>
            <w:tcW w:type="dxa" w:w="2268"/>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Loại lãng phí</w:t>
            </w:r>
          </w:p>
        </w:tc>
        <w:tc>
          <w:tcPr>
            <w:tcW w:type="dxa" w:w="2268"/>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Ví dụ</w:t>
            </w:r>
          </w:p>
        </w:tc>
        <w:tc>
          <w:tcPr>
            <w:tcW w:type="dxa" w:w="2268"/>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Tác động</w:t>
            </w:r>
          </w:p>
        </w:tc>
        <w:tc>
          <w:tcPr>
            <w:tcW w:type="dxa" w:w="2268"/>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Biện pháp kiểm soát</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Hold</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Chờ khách hàng bổ sung hoặc chờ OMS/API.</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Tăng WT/CT và tồn đọng.</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SLA, nhắc việc, tự động đóng quá hạn.</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Move</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Dữ liệu chuyển giữa Web/App/API/Nhân viên/OMS/CSKH.</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Mất thời gian và tăng nguy cơ sai lệch.</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Message contract và đồng bộ dữ liệu.</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Transportation</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Đến điểm giao dịch để bổ sung dữ liệu có thể xử lý online.</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Tăng effort khách hàng.</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Mở rộng bổ sung trực tuyến.</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Over-do</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Nhập lại toàn bộ form hoặc kiểm tra trường không đổi.</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Tăng PT và NVA.</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Giữ dữ liệu hợp lệ, chỉ sửa trường lỗi.</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Defect</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Sai địa chỉ, điện thoại, khối lượng hoặc COD.</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Tạo rework và giảm FPY.</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Validation và chuẩn hóa danh mục.</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Inventory</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Yêu cầu chưa hoàn tất nằm trong hàng đợi.</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Tăng backlog và rủi ro quên xử lý.</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Phân loại trạng thái và theo dõi SLA.</w:t>
            </w:r>
          </w:p>
        </w:tc>
      </w:tr>
    </w:tbl>
    <w:p>
      <w:pPr>
        <w:sectPr>
          <w:pgSz w:w="11909" w:h="16834"/>
          <w:pgMar w:top="1138" w:right="1138" w:bottom="1138" w:left="1699" w:header="720" w:footer="720" w:gutter="0"/>
          <w:cols w:space="720"/>
          <w:docGrid w:linePitch="360"/>
        </w:sectPr>
      </w:pPr>
    </w:p>
    <w:p>
      <w:pPr>
        <w:keepNext/>
        <w:keepLines/>
        <w:spacing w:before="160" w:after="40"/>
        <w:jc w:val="center"/>
      </w:pPr>
      <w:r>
        <w:drawing>
          <wp:inline xmlns:a="http://schemas.openxmlformats.org/drawingml/2006/main" xmlns:pic="http://schemas.openxmlformats.org/drawingml/2006/picture">
            <wp:extent cx="9418320" cy="4219364"/>
            <wp:docPr id="6" name="Picture 6"/>
            <wp:cNvGraphicFramePr>
              <a:graphicFrameLocks noChangeAspect="1"/>
            </wp:cNvGraphicFramePr>
            <a:graphic>
              <a:graphicData uri="http://schemas.openxmlformats.org/drawingml/2006/picture">
                <pic:pic>
                  <pic:nvPicPr>
                    <pic:cNvPr id="0" name="tiep_nhan_don_hang_Waste_cropped.png"/>
                    <pic:cNvPicPr/>
                  </pic:nvPicPr>
                  <pic:blipFill>
                    <a:blip r:embed="rId14"/>
                    <a:stretch>
                      <a:fillRect/>
                    </a:stretch>
                  </pic:blipFill>
                  <pic:spPr>
                    <a:xfrm>
                      <a:off x="0" y="0"/>
                      <a:ext cx="9418320" cy="4219364"/>
                    </a:xfrm>
                    <a:prstGeom prst="rect"/>
                  </pic:spPr>
                </pic:pic>
              </a:graphicData>
            </a:graphic>
          </wp:inline>
        </w:drawing>
      </w:r>
    </w:p>
    <w:p>
      <w:pPr>
        <w:keepLines/>
        <w:spacing w:before="80" w:after="240"/>
        <w:jc w:val="center"/>
      </w:pPr>
      <w:r>
        <w:rPr>
          <w:rFonts w:ascii="Times New Roman" w:hAnsi="Times New Roman"/>
          <w:b/>
          <w:i w:val="0"/>
          <w:color w:val="000000"/>
          <w:sz w:val="22"/>
        </w:rPr>
        <w:t>Hình 4.2: Sơ đồ BPMN - Phân tích lãng phí</w:t>
      </w:r>
    </w:p>
    <w:p>
      <w:pPr>
        <w:sectPr>
          <w:pgSz w:w="16834" w:h="11909" w:orient="landscape"/>
          <w:pgMar w:top="792" w:right="792" w:bottom="792" w:left="792" w:header="720" w:footer="720" w:gutter="0"/>
          <w:cols w:space="720"/>
          <w:docGrid w:linePitch="360"/>
        </w:sectPr>
      </w:pPr>
    </w:p>
    <w:p>
      <w:pPr>
        <w:pStyle w:val="Heading3"/>
        <w:keepNext/>
        <w:spacing w:before="160" w:after="60"/>
        <w:jc w:val="left"/>
      </w:pPr>
      <w:r>
        <w:rPr>
          <w:rFonts w:ascii="Times New Roman" w:hAnsi="Times New Roman"/>
          <w:b/>
          <w:i w:val="0"/>
          <w:color w:val="000000"/>
          <w:sz w:val="25"/>
        </w:rPr>
        <w:t>4.1.3. Phân tích các bên liên quan và xác định nguyên nhân gốc rễ</w:t>
      </w:r>
    </w:p>
    <w:p>
      <w:pPr>
        <w:keepNext/>
        <w:spacing w:before="200" w:after="80"/>
        <w:jc w:val="left"/>
      </w:pPr>
      <w:r>
        <w:rPr>
          <w:rFonts w:ascii="Times New Roman" w:hAnsi="Times New Roman"/>
          <w:b/>
          <w:i w:val="0"/>
          <w:color w:val="000000"/>
          <w:sz w:val="22"/>
        </w:rPr>
        <w:t>Bảng 4.5: Phân tích các bên liên quan</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2268"/>
        <w:gridCol w:w="2268"/>
        <w:gridCol w:w="2268"/>
        <w:gridCol w:w="2268"/>
      </w:tblGrid>
      <w:tr>
        <w:trPr>
          <w:cantSplit/>
          <w:tblHeader/>
        </w:trPr>
        <w:tc>
          <w:tcPr>
            <w:tcW w:type="dxa" w:w="2268"/>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Bên liên quan</w:t>
            </w:r>
          </w:p>
        </w:tc>
        <w:tc>
          <w:tcPr>
            <w:tcW w:type="dxa" w:w="2268"/>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Nhu cầu / quyền lợi</w:t>
            </w:r>
          </w:p>
        </w:tc>
        <w:tc>
          <w:tcPr>
            <w:tcW w:type="dxa" w:w="2268"/>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Ảnh hưởng</w:t>
            </w:r>
          </w:p>
        </w:tc>
        <w:tc>
          <w:tcPr>
            <w:tcW w:type="dxa" w:w="2268"/>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Cách kiểm chứng</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Khách hàng/Đối tác</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Tạo đơn nhanh, ít lỗi, nhận mã ngay.</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Cao</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Phỏng vấn, UX log, tỷ lệ bổ sung.</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Kênh tiếp nhận/Nhân viên</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Tiếp nhận ổn định, dễ hướng dẫn.</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Cao</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Shadowing, ticket, interview.</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OMS/API</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Rule rõ, dữ liệu hợp lệ, không duplicate.</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Cao</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Schema, API log, error code.</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CSKH</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Có đủ ngữ cảnh để xử lý ngoại lệ.</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Trung bình/Cao</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Incident log, ticket.</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Nhận hàng/Thu gom</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Mã vận đơn chính xác để đối chiếu.</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Trung bình</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Handover/status log.</w:t>
            </w:r>
          </w:p>
        </w:tc>
      </w:tr>
    </w:tbl>
    <w:p>
      <w:pPr>
        <w:pStyle w:val="Heading4"/>
        <w:keepNext/>
        <w:spacing w:before="120" w:after="40"/>
        <w:jc w:val="left"/>
      </w:pPr>
      <w:r>
        <w:rPr>
          <w:rFonts w:ascii="Times New Roman" w:hAnsi="Times New Roman"/>
          <w:b/>
          <w:i w:val="0"/>
          <w:color w:val="000000"/>
          <w:sz w:val="24"/>
        </w:rPr>
        <w:t>4.1.3.1. Sổ theo dõi vấn đề (Issue register)</w:t>
      </w:r>
    </w:p>
    <w:p>
      <w:pPr>
        <w:keepNext/>
        <w:spacing w:before="200" w:after="80"/>
        <w:jc w:val="left"/>
      </w:pPr>
      <w:r>
        <w:rPr>
          <w:rFonts w:ascii="Times New Roman" w:hAnsi="Times New Roman"/>
          <w:b/>
          <w:i w:val="0"/>
          <w:color w:val="000000"/>
          <w:sz w:val="22"/>
        </w:rPr>
        <w:t>Bảng 4.6: Sổ theo dõi vấn đề (Issue register)</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1512"/>
        <w:gridCol w:w="1512"/>
        <w:gridCol w:w="1512"/>
        <w:gridCol w:w="1512"/>
        <w:gridCol w:w="1512"/>
        <w:gridCol w:w="1512"/>
      </w:tblGrid>
      <w:tr>
        <w:trPr>
          <w:cantSplit/>
          <w:tblHeader/>
        </w:trPr>
        <w:tc>
          <w:tcPr>
            <w:tcW w:type="dxa" w:w="1512"/>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Issue ID</w:t>
            </w:r>
          </w:p>
        </w:tc>
        <w:tc>
          <w:tcPr>
            <w:tcW w:type="dxa" w:w="1512"/>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Vấn đề</w:t>
            </w:r>
          </w:p>
        </w:tc>
        <w:tc>
          <w:tcPr>
            <w:tcW w:type="dxa" w:w="1512"/>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Nguyên nhân giả thuyết</w:t>
            </w:r>
          </w:p>
        </w:tc>
        <w:tc>
          <w:tcPr>
            <w:tcW w:type="dxa" w:w="1512"/>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Tác động</w:t>
            </w:r>
          </w:p>
        </w:tc>
        <w:tc>
          <w:tcPr>
            <w:tcW w:type="dxa" w:w="1512"/>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Ưu tiên</w:t>
            </w:r>
          </w:p>
        </w:tc>
        <w:tc>
          <w:tcPr>
            <w:tcW w:type="dxa" w:w="1512"/>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Trạng thái</w:t>
            </w:r>
          </w:p>
        </w:tc>
      </w:tr>
      <w:tr>
        <w:trPr>
          <w:cantSplit/>
        </w:trPr>
        <w:tc>
          <w:tcPr>
            <w:tcW w:type="dxa" w:w="1512"/>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ISS-01</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Khách hàng phải bổ sung nhiều vòng</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Validation/feedback chưa theo trường.</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Tăng WT, giảm FPY.</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Cao</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Cần xác thực</w:t>
            </w:r>
          </w:p>
        </w:tc>
      </w:tr>
      <w:tr>
        <w:trPr>
          <w:cantSplit/>
        </w:trPr>
        <w:tc>
          <w:tcPr>
            <w:tcW w:type="dxa" w:w="1512"/>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ISS-02</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Dữ liệu giữa kênh có thể lệch</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Rule Web/App/API chưa có owner chung.</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Tăng Defect/Move.</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Cao</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Cần xác thực</w:t>
            </w:r>
          </w:p>
        </w:tc>
      </w:tr>
      <w:tr>
        <w:trPr>
          <w:cantSplit/>
        </w:trPr>
        <w:tc>
          <w:tcPr>
            <w:tcW w:type="dxa" w:w="1512"/>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ISS-03</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Lỗi kỹ thuật cần tạo lại đơn</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Retry/idempotency chưa rõ.</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Nguy cơ duplicate và tăng CSKH.</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Cao</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Cần log</w:t>
            </w:r>
          </w:p>
        </w:tc>
      </w:tr>
      <w:tr>
        <w:trPr>
          <w:cantSplit/>
        </w:trPr>
        <w:tc>
          <w:tcPr>
            <w:tcW w:type="dxa" w:w="1512"/>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ISS-04</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Yêu cầu bỏ dở tồn trong hàng đợi</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Thiếu SLA và auto-close.</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Tăng Inventory.</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Trung bình</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Cần log</w:t>
            </w:r>
          </w:p>
        </w:tc>
      </w:tr>
    </w:tbl>
    <w:p>
      <w:pPr>
        <w:pStyle w:val="Heading4"/>
        <w:keepNext/>
        <w:spacing w:before="120" w:after="40"/>
        <w:jc w:val="left"/>
      </w:pPr>
      <w:r>
        <w:rPr>
          <w:rFonts w:ascii="Times New Roman" w:hAnsi="Times New Roman"/>
          <w:b/>
          <w:i w:val="0"/>
          <w:color w:val="000000"/>
          <w:sz w:val="24"/>
        </w:rPr>
        <w:t>4.1.3.2. Phân tích nguyên nhân gốc rễ</w:t>
      </w:r>
    </w:p>
    <w:p>
      <w:pPr>
        <w:keepNext/>
        <w:spacing w:before="200" w:after="80"/>
        <w:jc w:val="left"/>
      </w:pPr>
      <w:r>
        <w:rPr>
          <w:rFonts w:ascii="Times New Roman" w:hAnsi="Times New Roman"/>
          <w:b/>
          <w:i w:val="0"/>
          <w:color w:val="000000"/>
          <w:sz w:val="22"/>
        </w:rPr>
        <w:t>Bảng 4.7: Phân tích 5 Why</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2268"/>
        <w:gridCol w:w="2268"/>
        <w:gridCol w:w="2268"/>
        <w:gridCol w:w="2268"/>
      </w:tblGrid>
      <w:tr>
        <w:trPr>
          <w:cantSplit/>
          <w:tblHeader/>
        </w:trPr>
        <w:tc>
          <w:tcPr>
            <w:tcW w:type="dxa" w:w="2268"/>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Why</w:t>
            </w:r>
          </w:p>
        </w:tc>
        <w:tc>
          <w:tcPr>
            <w:tcW w:type="dxa" w:w="2268"/>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Câu hỏi</w:t>
            </w:r>
          </w:p>
        </w:tc>
        <w:tc>
          <w:tcPr>
            <w:tcW w:type="dxa" w:w="2268"/>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Kết luận tạm thời</w:t>
            </w:r>
          </w:p>
        </w:tc>
        <w:tc>
          <w:tcPr>
            <w:tcW w:type="dxa" w:w="2268"/>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Bằng chứng cần xác nhận</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Why 1</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Vì sao phải sửa/bổ sung?</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Dữ liệu thiếu hoặc sai định dạng.</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Error code/field log.</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Why 2</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Vì sao nhập sai?</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Hướng dẫn/validation tại kênh chưa đủ rõ.</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UX/session log, interview.</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Why 3</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Vì sao validation chưa đủ?</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Rule giữa các kênh có thể chưa đồng nhất.</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Schema/API comparison.</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Why 4</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Vì sao chuẩn hóa chưa đủ?</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Danh mục địa chỉ/mapping có thể chưa đồng bộ.</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Master data audit.</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Why 5</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Vì sao chưa đồng bộ?</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Chưa có owner và test case chung cho rule liên kênh.</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Governance record/test suite.</w:t>
            </w:r>
          </w:p>
        </w:tc>
      </w:tr>
    </w:tbl>
    <w:p>
      <w:pPr>
        <w:sectPr>
          <w:pgSz w:w="11909" w:h="16834"/>
          <w:pgMar w:top="1138" w:right="1138" w:bottom="1138" w:left="1699" w:header="720" w:footer="720" w:gutter="0"/>
          <w:cols w:space="720"/>
          <w:docGrid w:linePitch="360"/>
        </w:sectPr>
      </w:pPr>
    </w:p>
    <w:p>
      <w:pPr>
        <w:keepNext/>
        <w:keepLines/>
        <w:spacing w:before="160" w:after="40"/>
        <w:jc w:val="center"/>
      </w:pPr>
      <w:r>
        <w:drawing>
          <wp:inline xmlns:a="http://schemas.openxmlformats.org/drawingml/2006/main" xmlns:pic="http://schemas.openxmlformats.org/drawingml/2006/picture">
            <wp:extent cx="9418320" cy="2063061"/>
            <wp:docPr id="7" name="Picture 7"/>
            <wp:cNvGraphicFramePr>
              <a:graphicFrameLocks noChangeAspect="1"/>
            </wp:cNvGraphicFramePr>
            <a:graphic>
              <a:graphicData uri="http://schemas.openxmlformats.org/drawingml/2006/picture">
                <pic:pic>
                  <pic:nvPicPr>
                    <pic:cNvPr id="0" name="why_tree.png"/>
                    <pic:cNvPicPr/>
                  </pic:nvPicPr>
                  <pic:blipFill>
                    <a:blip r:embed="rId15"/>
                    <a:stretch>
                      <a:fillRect/>
                    </a:stretch>
                  </pic:blipFill>
                  <pic:spPr>
                    <a:xfrm>
                      <a:off x="0" y="0"/>
                      <a:ext cx="9418320" cy="2063061"/>
                    </a:xfrm>
                    <a:prstGeom prst="rect"/>
                  </pic:spPr>
                </pic:pic>
              </a:graphicData>
            </a:graphic>
          </wp:inline>
        </w:drawing>
      </w:r>
    </w:p>
    <w:p>
      <w:pPr>
        <w:keepLines/>
        <w:spacing w:before="80" w:after="240"/>
        <w:jc w:val="center"/>
      </w:pPr>
      <w:r>
        <w:rPr>
          <w:rFonts w:ascii="Times New Roman" w:hAnsi="Times New Roman"/>
          <w:b/>
          <w:i w:val="0"/>
          <w:color w:val="000000"/>
          <w:sz w:val="22"/>
        </w:rPr>
        <w:t>Hình 4.3: Sơ đồ cây nguyên nhân gốc rễ</w:t>
      </w:r>
    </w:p>
    <w:p>
      <w:pPr>
        <w:sectPr>
          <w:pgSz w:w="16834" w:h="11909" w:orient="landscape"/>
          <w:pgMar w:top="792" w:right="792" w:bottom="792" w:left="792" w:header="720" w:footer="720" w:gutter="0"/>
          <w:cols w:space="720"/>
          <w:docGrid w:linePitch="360"/>
        </w:sectPr>
      </w:pPr>
    </w:p>
    <w:p>
      <w:pPr>
        <w:pStyle w:val="Heading2"/>
        <w:keepNext/>
        <w:spacing w:before="220" w:after="80"/>
        <w:jc w:val="left"/>
      </w:pPr>
      <w:r>
        <w:rPr>
          <w:rFonts w:ascii="Times New Roman" w:hAnsi="Times New Roman"/>
          <w:b/>
          <w:i w:val="0"/>
          <w:color w:val="000000"/>
          <w:sz w:val="27"/>
        </w:rPr>
        <w:t>4.2. Phân tích định lượng</w:t>
      </w:r>
    </w:p>
    <w:p>
      <w:pPr>
        <w:pStyle w:val="Heading3"/>
        <w:keepNext/>
        <w:spacing w:before="160" w:after="60"/>
        <w:jc w:val="left"/>
      </w:pPr>
      <w:r>
        <w:rPr>
          <w:rFonts w:ascii="Times New Roman" w:hAnsi="Times New Roman"/>
          <w:b/>
          <w:i w:val="0"/>
          <w:color w:val="000000"/>
          <w:sz w:val="25"/>
        </w:rPr>
        <w:t>4.2.1. Phân tích thời gian</w:t>
      </w:r>
    </w:p>
    <w:p>
      <w:pPr>
        <w:spacing w:before="0" w:after="120" w:line="300" w:lineRule="auto"/>
        <w:jc w:val="both"/>
      </w:pPr>
      <w:r>
        <w:rPr>
          <w:rFonts w:ascii="Times New Roman" w:hAnsi="Times New Roman"/>
          <w:color w:val="000000"/>
          <w:sz w:val="24"/>
        </w:rPr>
        <w:t>Dựa trên mô hình BPMN hiện trạng, phân tích dòng chảy được thực hiện theo ba chiều thời gian, chất lượng và chi phí. Trong kỳ phân tích minh họa, PT = 6,53 phút, WT = 2,00 phút và CT = PT + WT = 8,53 phút. PCE = PT/CT x 100% = 76,55%. Tỷ lệ đúng ngay lần đầu là 92,00%, tỷ lệ tạo mã vận đơn là 99,50% và chi phí xử lý trước chi phí chờ là 1.944 VNĐ/đơn. Các giá trị này phải được thay bằng log OMS/API, dữ liệu giao dịch và bảng chi phí thực tế khi có nguồn xác thực.</w:t>
      </w:r>
    </w:p>
    <w:p>
      <w:pPr>
        <w:sectPr>
          <w:pgSz w:w="11909" w:h="16834"/>
          <w:pgMar w:top="1138" w:right="1138" w:bottom="1138" w:left="1699" w:header="720" w:footer="720" w:gutter="0"/>
          <w:cols w:space="720"/>
          <w:docGrid w:linePitch="360"/>
        </w:sectPr>
      </w:pPr>
    </w:p>
    <w:p>
      <w:pPr>
        <w:keepNext/>
        <w:keepLines/>
        <w:spacing w:before="160" w:after="40"/>
        <w:jc w:val="center"/>
      </w:pPr>
      <w:r>
        <w:drawing>
          <wp:inline xmlns:a="http://schemas.openxmlformats.org/drawingml/2006/main" xmlns:pic="http://schemas.openxmlformats.org/drawingml/2006/picture">
            <wp:extent cx="9418320" cy="4219364"/>
            <wp:docPr id="8" name="Picture 8"/>
            <wp:cNvGraphicFramePr>
              <a:graphicFrameLocks noChangeAspect="1"/>
            </wp:cNvGraphicFramePr>
            <a:graphic>
              <a:graphicData uri="http://schemas.openxmlformats.org/drawingml/2006/picture">
                <pic:pic>
                  <pic:nvPicPr>
                    <pic:cNvPr id="0" name="tiep_nhan_don_hang_Quantitative_cropped.png"/>
                    <pic:cNvPicPr/>
                  </pic:nvPicPr>
                  <pic:blipFill>
                    <a:blip r:embed="rId16"/>
                    <a:stretch>
                      <a:fillRect/>
                    </a:stretch>
                  </pic:blipFill>
                  <pic:spPr>
                    <a:xfrm>
                      <a:off x="0" y="0"/>
                      <a:ext cx="9418320" cy="4219364"/>
                    </a:xfrm>
                    <a:prstGeom prst="rect"/>
                  </pic:spPr>
                </pic:pic>
              </a:graphicData>
            </a:graphic>
          </wp:inline>
        </w:drawing>
      </w:r>
    </w:p>
    <w:p>
      <w:pPr>
        <w:keepLines/>
        <w:spacing w:before="80" w:after="240"/>
        <w:jc w:val="center"/>
      </w:pPr>
      <w:r>
        <w:rPr>
          <w:rFonts w:ascii="Times New Roman" w:hAnsi="Times New Roman"/>
          <w:b/>
          <w:i w:val="0"/>
          <w:color w:val="000000"/>
          <w:sz w:val="22"/>
        </w:rPr>
        <w:t>Hình 4.4: Sơ đồ BPMN - Phân tích định lượng quy trình</w:t>
      </w:r>
    </w:p>
    <w:p>
      <w:pPr>
        <w:sectPr>
          <w:pgSz w:w="16834" w:h="11909" w:orient="landscape"/>
          <w:pgMar w:top="792" w:right="792" w:bottom="792" w:left="792" w:header="720" w:footer="720" w:gutter="0"/>
          <w:cols w:space="720"/>
          <w:docGrid w:linePitch="360"/>
        </w:sectPr>
      </w:pPr>
    </w:p>
    <w:p>
      <w:pPr>
        <w:keepNext/>
        <w:spacing w:before="200" w:after="80"/>
        <w:jc w:val="left"/>
      </w:pPr>
      <w:r>
        <w:rPr>
          <w:rFonts w:ascii="Times New Roman" w:hAnsi="Times New Roman"/>
          <w:b/>
          <w:i w:val="0"/>
          <w:color w:val="000000"/>
          <w:sz w:val="22"/>
        </w:rPr>
        <w:t>Bảng 4.8: Phân tích thời gian</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1814"/>
        <w:gridCol w:w="1814"/>
        <w:gridCol w:w="1814"/>
        <w:gridCol w:w="1814"/>
        <w:gridCol w:w="1814"/>
      </w:tblGrid>
      <w:tr>
        <w:trPr>
          <w:cantSplit/>
          <w:tblHeader/>
        </w:trPr>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Hoạt động / chỉ số</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PT (phút)</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WT (phút)</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Cách tính / ghi chú</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Trạng thái</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Khai dữ liệu và chọn dịch vụ</w:t>
            </w:r>
          </w:p>
        </w:tc>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4,00</w:t>
            </w:r>
          </w:p>
        </w:tc>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0,00</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Tham số kỳ phân tích.</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Chưa có log</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Tiếp nhận và kiểm tra sơ bộ</w:t>
            </w:r>
          </w:p>
        </w:tc>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1,00</w:t>
            </w:r>
          </w:p>
        </w:tc>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0,00</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Tham số kỳ phân tích.</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Chưa có log</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Kiểm tra, chuẩn hóa OMS/API</w:t>
            </w:r>
          </w:p>
        </w:tc>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0,50</w:t>
            </w:r>
          </w:p>
        </w:tc>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0,00</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Tham số kỳ phân tích.</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Chưa có log</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Sửa/bổ sung (8%)</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0,28 kỳ vọng</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2,00 kỳ vọng</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0,08 x (3 + 0,5); WT theo tài liệu.</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Chưa có log</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Ghi nhận, tạo mã, xác nhận</w:t>
            </w:r>
          </w:p>
        </w:tc>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0,75</w:t>
            </w:r>
          </w:p>
        </w:tc>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0,00</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0,25 + 0,25 + 0,25.</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Tham số</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i w:val="0"/>
                <w:color w:val="000000"/>
                <w:sz w:val="19"/>
              </w:rPr>
              <w:t>Tổng PT</w:t>
            </w:r>
          </w:p>
        </w:tc>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i w:val="0"/>
                <w:color w:val="000000"/>
                <w:sz w:val="19"/>
              </w:rPr>
              <w:t>6,53</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i w:val="0"/>
                <w:color w:val="000000"/>
                <w:sz w:val="19"/>
              </w:rPr>
              <w:t>-</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i w:val="0"/>
                <w:color w:val="000000"/>
                <w:sz w:val="19"/>
              </w:rPr>
              <w:t>PT kỳ vọng.</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i w:val="0"/>
                <w:color w:val="000000"/>
                <w:sz w:val="19"/>
              </w:rPr>
              <w:t>Tính từ tham số</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i w:val="0"/>
                <w:color w:val="000000"/>
                <w:sz w:val="19"/>
              </w:rPr>
              <w:t>Tổng WT</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i w:val="0"/>
                <w:color w:val="000000"/>
                <w:sz w:val="19"/>
              </w:rPr>
              <w:t>-</w:t>
            </w:r>
          </w:p>
        </w:tc>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i w:val="0"/>
                <w:color w:val="000000"/>
                <w:sz w:val="19"/>
              </w:rPr>
              <w:t>2,00</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i w:val="0"/>
                <w:color w:val="000000"/>
                <w:sz w:val="19"/>
              </w:rPr>
              <w:t>WT kỳ vọng.</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i w:val="0"/>
                <w:color w:val="000000"/>
                <w:sz w:val="19"/>
              </w:rPr>
              <w:t>Chưa có log</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i w:val="0"/>
                <w:color w:val="000000"/>
                <w:sz w:val="19"/>
              </w:rPr>
              <w:t>Tổng CT</w:t>
            </w:r>
          </w:p>
        </w:tc>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i w:val="0"/>
                <w:color w:val="000000"/>
                <w:sz w:val="19"/>
              </w:rPr>
              <w:t>8,53</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i w:val="0"/>
                <w:color w:val="000000"/>
                <w:sz w:val="19"/>
              </w:rPr>
              <w:t>-</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i w:val="0"/>
                <w:color w:val="000000"/>
                <w:sz w:val="19"/>
              </w:rPr>
              <w:t>PT + WT.</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i w:val="0"/>
                <w:color w:val="000000"/>
                <w:sz w:val="19"/>
              </w:rPr>
              <w:t>Suy ra</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PCE</w:t>
            </w:r>
          </w:p>
        </w:tc>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76,55%</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PT/CT x 100%.</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Suy ra</w:t>
            </w:r>
          </w:p>
        </w:tc>
      </w:tr>
    </w:tbl>
    <w:p>
      <w:pPr>
        <w:pStyle w:val="Heading3"/>
        <w:keepNext/>
        <w:spacing w:before="160" w:after="60"/>
        <w:jc w:val="left"/>
      </w:pPr>
      <w:r>
        <w:rPr>
          <w:rFonts w:ascii="Times New Roman" w:hAnsi="Times New Roman"/>
          <w:b/>
          <w:i w:val="0"/>
          <w:color w:val="000000"/>
          <w:sz w:val="25"/>
        </w:rPr>
        <w:t>4.2.2. Phân tích chất lượng</w:t>
      </w:r>
    </w:p>
    <w:p>
      <w:pPr>
        <w:keepNext/>
        <w:spacing w:before="200" w:after="80"/>
        <w:jc w:val="left"/>
      </w:pPr>
      <w:r>
        <w:rPr>
          <w:rFonts w:ascii="Times New Roman" w:hAnsi="Times New Roman"/>
          <w:b/>
          <w:i w:val="0"/>
          <w:color w:val="000000"/>
          <w:sz w:val="22"/>
        </w:rPr>
        <w:t>Bảng 4.9: Phân tích chất lượng</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1512"/>
        <w:gridCol w:w="1512"/>
        <w:gridCol w:w="1512"/>
        <w:gridCol w:w="1512"/>
        <w:gridCol w:w="1512"/>
        <w:gridCol w:w="1512"/>
      </w:tblGrid>
      <w:tr>
        <w:trPr>
          <w:cantSplit/>
          <w:tblHeader/>
        </w:trPr>
        <w:tc>
          <w:tcPr>
            <w:tcW w:type="dxa" w:w="1512"/>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Chỉ số chất lượng</w:t>
            </w:r>
          </w:p>
        </w:tc>
        <w:tc>
          <w:tcPr>
            <w:tcW w:type="dxa" w:w="1512"/>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Công thức</w:t>
            </w:r>
          </w:p>
        </w:tc>
        <w:tc>
          <w:tcPr>
            <w:tcW w:type="dxa" w:w="1512"/>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Kết quả</w:t>
            </w:r>
          </w:p>
        </w:tc>
        <w:tc>
          <w:tcPr>
            <w:tcW w:type="dxa" w:w="1512"/>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Nhận xét</w:t>
            </w:r>
          </w:p>
        </w:tc>
        <w:tc>
          <w:tcPr>
            <w:tcW w:type="dxa" w:w="1512"/>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Khắc phục</w:t>
            </w:r>
          </w:p>
        </w:tc>
        <w:tc>
          <w:tcPr>
            <w:tcW w:type="dxa" w:w="1512"/>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Trạng thái</w:t>
            </w:r>
          </w:p>
        </w:tc>
      </w:tr>
      <w:tr>
        <w:trPr>
          <w:cantSplit/>
        </w:trPr>
        <w:tc>
          <w:tcPr>
            <w:tcW w:type="dxa" w:w="1512"/>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FPY</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9.200 / 10.000 x 100%</w:t>
            </w:r>
          </w:p>
        </w:tc>
        <w:tc>
          <w:tcPr>
            <w:tcW w:type="dxa" w:w="1512"/>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92,00%</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8% yêu cầu cần sửa.</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Validation theo trường và UX rõ hơn.</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Chưa có log</w:t>
            </w:r>
          </w:p>
        </w:tc>
      </w:tr>
      <w:tr>
        <w:trPr>
          <w:cantSplit/>
        </w:trPr>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Chuẩn hóa địa chỉ thành công</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9.700 / 10.000 x 100%</w:t>
            </w:r>
          </w:p>
        </w:tc>
        <w:tc>
          <w:tcPr>
            <w:tcW w:type="dxa" w:w="1512"/>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97,00%</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3% không chuẩn hóa ngay.</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Đồng bộ danh mục/mapping.</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Chưa có log</w:t>
            </w:r>
          </w:p>
        </w:tc>
      </w:tr>
      <w:tr>
        <w:trPr>
          <w:cantSplit/>
        </w:trPr>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Tạo mã vận đơn thành công</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9.950 / 10.000 x 100%</w:t>
            </w:r>
          </w:p>
        </w:tc>
        <w:tc>
          <w:tcPr>
            <w:tcW w:type="dxa" w:w="1512"/>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99,50%</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0,5% lỗi hoặc retry.</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Idempotency và error handling.</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Chưa có log</w:t>
            </w:r>
          </w:p>
        </w:tc>
      </w:tr>
      <w:tr>
        <w:trPr>
          <w:cantSplit/>
        </w:trPr>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Gửi xác nhận thành công</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9.900 / 10.000 x 100%</w:t>
            </w:r>
          </w:p>
        </w:tc>
        <w:tc>
          <w:tcPr>
            <w:tcW w:type="dxa" w:w="1512"/>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99,00%</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1% cần retry/CSKH.</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Theo dõi delivery status.</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Chưa có log</w:t>
            </w:r>
          </w:p>
        </w:tc>
      </w:tr>
      <w:tr>
        <w:trPr>
          <w:cantSplit/>
        </w:trPr>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Tỷ lệ yêu cầu phải sửa</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800 / 10.000 x 100%</w:t>
            </w:r>
          </w:p>
        </w:tc>
        <w:tc>
          <w:tcPr>
            <w:tcW w:type="dxa" w:w="1512"/>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8,00%</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Liên quan Defect/Over-do.</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Giảm vòng bổ sung.</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Chưa có log</w:t>
            </w:r>
          </w:p>
        </w:tc>
      </w:tr>
    </w:tbl>
    <w:p>
      <w:r>
        <w:br w:type="page"/>
      </w:r>
    </w:p>
    <w:p>
      <w:pPr>
        <w:pStyle w:val="Heading3"/>
        <w:keepNext/>
        <w:spacing w:before="160" w:after="60"/>
        <w:jc w:val="left"/>
      </w:pPr>
      <w:r>
        <w:rPr>
          <w:rFonts w:ascii="Times New Roman" w:hAnsi="Times New Roman"/>
          <w:b/>
          <w:i w:val="0"/>
          <w:color w:val="000000"/>
          <w:sz w:val="25"/>
        </w:rPr>
        <w:t>4.2.3. Phân tích chi phí</w:t>
      </w:r>
    </w:p>
    <w:p>
      <w:pPr>
        <w:keepNext/>
        <w:spacing w:before="200" w:after="80"/>
        <w:jc w:val="left"/>
      </w:pPr>
      <w:r>
        <w:rPr>
          <w:rFonts w:ascii="Times New Roman" w:hAnsi="Times New Roman"/>
          <w:b/>
          <w:i w:val="0"/>
          <w:color w:val="000000"/>
          <w:sz w:val="22"/>
        </w:rPr>
        <w:t>Bảng 4.10: Phân tích chi phí</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1512"/>
        <w:gridCol w:w="1512"/>
        <w:gridCol w:w="1512"/>
        <w:gridCol w:w="1512"/>
        <w:gridCol w:w="1512"/>
        <w:gridCol w:w="1512"/>
      </w:tblGrid>
      <w:tr>
        <w:trPr>
          <w:cantSplit/>
          <w:tblHeader/>
        </w:trPr>
        <w:tc>
          <w:tcPr>
            <w:tcW w:type="dxa" w:w="1512"/>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Khoản mục chi phí</w:t>
            </w:r>
          </w:p>
        </w:tc>
        <w:tc>
          <w:tcPr>
            <w:tcW w:type="dxa" w:w="1512"/>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Cách tính</w:t>
            </w:r>
          </w:p>
        </w:tc>
        <w:tc>
          <w:tcPr>
            <w:tcW w:type="dxa" w:w="1512"/>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Kết quả</w:t>
            </w:r>
          </w:p>
        </w:tc>
        <w:tc>
          <w:tcPr>
            <w:tcW w:type="dxa" w:w="1512"/>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Đơn vị</w:t>
            </w:r>
          </w:p>
        </w:tc>
        <w:tc>
          <w:tcPr>
            <w:tcW w:type="dxa" w:w="1512"/>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Nhận xét</w:t>
            </w:r>
          </w:p>
        </w:tc>
        <w:tc>
          <w:tcPr>
            <w:tcW w:type="dxa" w:w="1512"/>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Trạng thái</w:t>
            </w:r>
          </w:p>
        </w:tc>
      </w:tr>
      <w:tr>
        <w:trPr>
          <w:cantSplit/>
        </w:trPr>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Chi phí tiếp nhận</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1,5/480 x 350.000</w:t>
            </w:r>
          </w:p>
        </w:tc>
        <w:tc>
          <w:tcPr>
            <w:tcW w:type="dxa" w:w="1512"/>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1.094</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VNĐ/đơn</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Thời gian nhân sự tiếp nhận.</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Tham số tài liệu</w:t>
            </w:r>
          </w:p>
        </w:tc>
      </w:tr>
      <w:tr>
        <w:trPr>
          <w:cantSplit/>
        </w:trPr>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Chi phí CSKH</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0,08 x 3/480 x 400.000</w:t>
            </w:r>
          </w:p>
        </w:tc>
        <w:tc>
          <w:tcPr>
            <w:tcW w:type="dxa" w:w="1512"/>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200</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VNĐ/đơn</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Chi phí vòng ngoại lệ kỳ vọng.</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Tham số tài liệu</w:t>
            </w:r>
          </w:p>
        </w:tc>
      </w:tr>
      <w:tr>
        <w:trPr>
          <w:cantSplit/>
        </w:trPr>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OMS/API và thông báo</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500 + 150</w:t>
            </w:r>
          </w:p>
        </w:tc>
        <w:tc>
          <w:tcPr>
            <w:tcW w:type="dxa" w:w="1512"/>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650</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VNĐ/đơn</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Chi phí hệ thống phân bổ.</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Tham số tài liệu</w:t>
            </w:r>
          </w:p>
        </w:tc>
      </w:tr>
      <w:tr>
        <w:trPr>
          <w:cantSplit/>
        </w:trPr>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i w:val="0"/>
                <w:color w:val="000000"/>
                <w:sz w:val="19"/>
              </w:rPr>
              <w:t>Tổng chi phí xử lý</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i w:val="0"/>
                <w:color w:val="000000"/>
                <w:sz w:val="19"/>
              </w:rPr>
              <w:t>1.094 + 200 + 650</w:t>
            </w:r>
          </w:p>
        </w:tc>
        <w:tc>
          <w:tcPr>
            <w:tcW w:type="dxa" w:w="1512"/>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i w:val="0"/>
                <w:color w:val="000000"/>
                <w:sz w:val="19"/>
              </w:rPr>
              <w:t>1.944</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i w:val="0"/>
                <w:color w:val="000000"/>
                <w:sz w:val="19"/>
              </w:rPr>
              <w:t>VNĐ/đơn</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i w:val="0"/>
                <w:color w:val="000000"/>
                <w:sz w:val="19"/>
              </w:rPr>
              <w:t>Chưa tính chi phí chờ.</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i w:val="0"/>
                <w:color w:val="000000"/>
                <w:sz w:val="19"/>
              </w:rPr>
              <w:t>Tính từ tham số</w:t>
            </w:r>
          </w:p>
        </w:tc>
      </w:tr>
      <w:tr>
        <w:trPr>
          <w:cantSplit/>
        </w:trPr>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Chi phí chờ phản hồi</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2/480 x 375.000</w:t>
            </w:r>
          </w:p>
        </w:tc>
        <w:tc>
          <w:tcPr>
            <w:tcW w:type="dxa" w:w="1512"/>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1.563</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VNĐ/đơn</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Chi phí của WT kỳ vọng.</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Tham số tài liệu</w:t>
            </w:r>
          </w:p>
        </w:tc>
      </w:tr>
      <w:tr>
        <w:trPr>
          <w:cantSplit/>
        </w:trPr>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Hiệu suất chi phí</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1.944/(1.944 + 1.563) x 100%</w:t>
            </w:r>
          </w:p>
        </w:tc>
        <w:tc>
          <w:tcPr>
            <w:tcW w:type="dxa" w:w="1512"/>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55,43</w:t>
            </w:r>
          </w:p>
        </w:tc>
        <w:tc>
          <w:tcPr>
            <w:tcW w:type="dxa" w:w="1512"/>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Cần xác thực đơn giá và phân bổ.</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Suy ra</w:t>
            </w:r>
          </w:p>
        </w:tc>
      </w:tr>
    </w:tbl>
    <w:p>
      <w:pPr>
        <w:pStyle w:val="Heading1"/>
        <w:keepNext/>
        <w:spacing w:before="280" w:after="120"/>
        <w:jc w:val="left"/>
      </w:pPr>
      <w:r>
        <w:rPr>
          <w:rFonts w:ascii="Times New Roman" w:hAnsi="Times New Roman"/>
          <w:b/>
          <w:i w:val="0"/>
          <w:color w:val="000000"/>
          <w:sz w:val="30"/>
        </w:rPr>
        <w:t>5. Tài liệu tham khảo</w:t>
      </w:r>
    </w:p>
    <w:p>
      <w:pPr>
        <w:spacing w:before="0" w:after="80" w:line="300" w:lineRule="auto"/>
        <w:ind w:left="720" w:hanging="720"/>
        <w:jc w:val="left"/>
      </w:pPr>
      <w:r>
        <w:rPr>
          <w:rFonts w:ascii="Times New Roman" w:hAnsi="Times New Roman"/>
          <w:i w:val="0"/>
          <w:color w:val="000000"/>
          <w:sz w:val="24"/>
        </w:rPr>
        <w:t xml:space="preserve">[1] M. Dumas, M. La Rosa, J. Mendling, and H. A. Reijers, </w:t>
      </w:r>
      <w:r>
        <w:rPr>
          <w:rFonts w:ascii="Times New Roman" w:hAnsi="Times New Roman"/>
          <w:i/>
          <w:color w:val="000000"/>
          <w:sz w:val="24"/>
        </w:rPr>
        <w:t>Fundamentals of Business Process Management</w:t>
      </w:r>
      <w:r>
        <w:rPr>
          <w:rFonts w:ascii="Times New Roman" w:hAnsi="Times New Roman"/>
          <w:i w:val="0"/>
          <w:color w:val="000000"/>
          <w:sz w:val="24"/>
        </w:rPr>
        <w:t>, 2nd ed., Springer, 2018.</w:t>
      </w:r>
    </w:p>
    <w:p>
      <w:pPr>
        <w:spacing w:before="0" w:after="80" w:line="300" w:lineRule="auto"/>
        <w:ind w:left="720" w:hanging="720"/>
        <w:jc w:val="left"/>
      </w:pPr>
      <w:r>
        <w:rPr>
          <w:rFonts w:ascii="Times New Roman" w:hAnsi="Times New Roman"/>
          <w:i w:val="0"/>
          <w:color w:val="000000"/>
          <w:sz w:val="24"/>
        </w:rPr>
        <w:t xml:space="preserve">[2] M. Weske, </w:t>
      </w:r>
      <w:r>
        <w:rPr>
          <w:rFonts w:ascii="Times New Roman" w:hAnsi="Times New Roman"/>
          <w:i/>
          <w:color w:val="000000"/>
          <w:sz w:val="24"/>
        </w:rPr>
        <w:t>Business Process Management: Concepts, Languages, Architectures</w:t>
      </w:r>
      <w:r>
        <w:rPr>
          <w:rFonts w:ascii="Times New Roman" w:hAnsi="Times New Roman"/>
          <w:i w:val="0"/>
          <w:color w:val="000000"/>
          <w:sz w:val="24"/>
        </w:rPr>
        <w:t>, 3rd ed., Springer, 2019.</w:t>
      </w:r>
    </w:p>
    <w:p>
      <w:pPr>
        <w:spacing w:before="0" w:after="80" w:line="300" w:lineRule="auto"/>
        <w:ind w:left="720" w:hanging="720"/>
        <w:jc w:val="left"/>
      </w:pPr>
      <w:r>
        <w:rPr>
          <w:rFonts w:ascii="Times New Roman" w:hAnsi="Times New Roman"/>
          <w:i w:val="0"/>
          <w:color w:val="000000"/>
          <w:sz w:val="24"/>
        </w:rPr>
        <w:t xml:space="preserve">[3] N. Q. Việt và H. L. H. Trung, </w:t>
      </w:r>
      <w:r>
        <w:rPr>
          <w:rFonts w:ascii="Times New Roman" w:hAnsi="Times New Roman"/>
          <w:i/>
          <w:color w:val="000000"/>
          <w:sz w:val="24"/>
        </w:rPr>
        <w:t>Tài liệu bài giảng Hệ thống Quản trị Quy trình Nghiệp vụ (BPM)</w:t>
      </w:r>
      <w:r>
        <w:rPr>
          <w:rFonts w:ascii="Times New Roman" w:hAnsi="Times New Roman"/>
          <w:i w:val="0"/>
          <w:color w:val="000000"/>
          <w:sz w:val="24"/>
        </w:rPr>
        <w:t>, Khoa Hệ thống Thông tin, UIT, 2026.</w:t>
      </w:r>
    </w:p>
    <w:p>
      <w:pPr>
        <w:spacing w:before="0" w:after="80" w:line="300" w:lineRule="auto"/>
        <w:ind w:left="720" w:hanging="720"/>
        <w:jc w:val="left"/>
      </w:pPr>
      <w:r>
        <w:rPr>
          <w:rFonts w:ascii="Times New Roman" w:hAnsi="Times New Roman"/>
          <w:i w:val="0"/>
          <w:color w:val="000000"/>
          <w:sz w:val="24"/>
        </w:rPr>
        <w:t xml:space="preserve">[4] OMG, </w:t>
      </w:r>
      <w:r>
        <w:rPr>
          <w:rFonts w:ascii="Times New Roman" w:hAnsi="Times New Roman"/>
          <w:i/>
          <w:color w:val="000000"/>
          <w:sz w:val="24"/>
        </w:rPr>
        <w:t>Business Process Model and Notation (BPMN), Version 2.0.2</w:t>
      </w:r>
      <w:r>
        <w:rPr>
          <w:rFonts w:ascii="Times New Roman" w:hAnsi="Times New Roman"/>
          <w:i w:val="0"/>
          <w:color w:val="000000"/>
          <w:sz w:val="24"/>
        </w:rPr>
        <w:t>, Object Management Group.</w:t>
      </w:r>
    </w:p>
    <w:p>
      <w:pPr>
        <w:spacing w:before="0" w:after="80" w:line="300" w:lineRule="auto"/>
        <w:ind w:left="720" w:hanging="720"/>
        <w:jc w:val="left"/>
      </w:pPr>
      <w:r>
        <w:rPr>
          <w:rFonts w:ascii="Times New Roman" w:hAnsi="Times New Roman"/>
          <w:i w:val="0"/>
          <w:color w:val="000000"/>
          <w:sz w:val="24"/>
        </w:rPr>
        <w:t>[5] Viettel Post, Biểu mẫu tạo đơn nhanh Tomato Box: https://viettelpost.vn/viettelpost-iframe/tao-don-tomato</w:t>
      </w:r>
    </w:p>
    <w:p>
      <w:pPr>
        <w:spacing w:before="0" w:after="80" w:line="300" w:lineRule="auto"/>
        <w:ind w:left="720" w:hanging="720"/>
        <w:jc w:val="left"/>
      </w:pPr>
      <w:r>
        <w:rPr>
          <w:rFonts w:ascii="Times New Roman" w:hAnsi="Times New Roman"/>
          <w:i w:val="0"/>
          <w:color w:val="000000"/>
          <w:sz w:val="24"/>
        </w:rPr>
        <w:t>[6] Viettel Post Partner, Tổng quan hệ thống Open API: https://partner2.viettelpost.vn/?uId=login</w:t>
      </w:r>
    </w:p>
    <w:p>
      <w:pPr>
        <w:spacing w:before="0" w:after="80" w:line="300" w:lineRule="auto"/>
        <w:ind w:left="720" w:hanging="720"/>
        <w:jc w:val="left"/>
      </w:pPr>
      <w:r>
        <w:rPr>
          <w:rFonts w:ascii="Times New Roman" w:hAnsi="Times New Roman"/>
          <w:i w:val="0"/>
          <w:color w:val="000000"/>
          <w:sz w:val="24"/>
        </w:rPr>
        <w:t>[7] Viettel Post, Câu hỏi thường gặp về hình thức tiếp nhận đơn: https://en.viettelpost.com.vn/frequently-asked-questions</w:t>
      </w:r>
    </w:p>
    <w:p>
      <w:pPr>
        <w:spacing w:before="0" w:after="80" w:line="300" w:lineRule="auto"/>
        <w:ind w:left="720" w:hanging="720"/>
        <w:jc w:val="left"/>
      </w:pPr>
      <w:r>
        <w:rPr>
          <w:rFonts w:ascii="Times New Roman" w:hAnsi="Times New Roman"/>
          <w:i w:val="0"/>
          <w:color w:val="000000"/>
          <w:sz w:val="24"/>
        </w:rPr>
        <w:t>[8] Viettel Post, Hướng dẫn sử dụng website, mục tạo đơn hàng: https://old.viettelpost.vn/uploads/huong-dan-su-dung-viettelpost.vn.pdf</w:t>
      </w:r>
    </w:p>
    <w:p>
      <w:pPr>
        <w:spacing w:before="0" w:after="80" w:line="300" w:lineRule="auto"/>
        <w:ind w:left="720" w:hanging="720"/>
        <w:jc w:val="left"/>
      </w:pPr>
      <w:r>
        <w:rPr>
          <w:rFonts w:ascii="Times New Roman" w:hAnsi="Times New Roman"/>
          <w:i w:val="0"/>
          <w:color w:val="000000"/>
          <w:sz w:val="24"/>
        </w:rPr>
        <w:t>[9] Viettel Post, Ứng dụng ViettelPost và tính năng tạo đơn: https://fly.viettelpost.vn/</w:t>
      </w:r>
    </w:p>
    <w:sectPr w:rsidR="00FC693F" w:rsidRPr="0006063C" w:rsidSect="00034616">
      <w:pgSz w:w="11909" w:h="16834"/>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trình tiếp nhận đơn hàng</dc:title>
  <dc:subject>IE203 - Báo cáo mô tả, mô hình hóa và phân tích quy trình</dc:subject>
  <dc:creator>Nguyễn Thanh Duy - 25410194</dc:creator>
  <cp:keywords/>
  <dc:description>Generated from order-intake SSOT using the IE203 reference report generator pattern.</dc:description>
  <cp:lastModifiedBy/>
  <cp:revision>1</cp:revision>
  <dcterms:created xsi:type="dcterms:W3CDTF">2013-12-23T23:15:00Z</dcterms:created>
  <dcterms:modified xsi:type="dcterms:W3CDTF">2013-12-23T23:15:00Z</dcterms:modified>
  <cp:category/>
</cp:coreProperties>
</file>