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fonts/Caudex-bold.ttf" ContentType="application/x-font-ttf"/>
  <Override PartName="/word/fonts/Caudex-boldItalic.ttf" ContentType="application/x-font-ttf"/>
  <Override PartName="/word/fonts/Caudex-italic.ttf" ContentType="application/x-font-ttf"/>
  <Override PartName="/word/fonts/Caudex-regular.ttf" ContentType="application/x-font-ttf"/>
  <Override PartName="/word/footer1.xml" ContentType="application/vnd.openxmlformats-officedocument.wordprocessingml.footer+xml"/>
  <Override PartName="/word/footer2.xml" ContentType="application/vnd.openxmlformats-officedocument.wordprocessingml.footer+xml"/>
  <Override PartName="/word/header1.xml" ContentType="application/vnd.openxmlformats-officedocument.wordprocessingml.header+xml"/>
  <Override PartName="/word/header2.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Types>
</file>

<file path=_rels/.rels><?xml version='1.0' encoding='UTF-8' standalone='yes'?>
<Relationships xmlns="http://schemas.openxmlformats.org/package/2006/relationships"><Relationship Id="rId1" Type="http://schemas.openxmlformats.org/package/2006/relationships/metadata/core-properties" Target="docProps/core.xml"/><Relationship Id="rId2" Type="http://schemas.openxmlformats.org/officeDocument/2006/relationships/officeDocument" Target="word/document.xml"/></Relationships>
</file>

<file path=word/document.xml><?xml version="1.0" encoding="utf-8"?>
<w:document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body>
    <w:p w:rsidR="00000000" w:rsidDel="00000000" w:rsidP="00000000" w:rsidRDefault="00000000" w:rsidRPr="00000000" w14:paraId="00000001">
      <w:pPr>
        <w:spacing w:after="120" w:line="360" w:lineRule="auto"/>
        <w:jc w:val="both"/>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2">
      <w:pPr>
        <w:spacing w:after="120" w:line="360" w:lineRule="auto"/>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3">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4">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cs="Times New Roman" w:eastAsia="Times New Roman" w:hAnsi="Times New Roman"/>
          <w:color w:val="000000"/>
          <w:sz w:val="26"/>
          <w:szCs w:val="26"/>
        </w:rPr>
        <w:drawing>
          <wp:inline distB="0" distT="0" distL="0" distR="0">
            <wp:extent cx="1969137" cy="1623143"/>
            <wp:effectExtent b="0" l="0" r="0" t="0"/>
            <wp:docPr id="318" name="image1.png" descr="Image: image1.png"/>
            <a:graphic>
              <a:graphicData uri="http://schemas.openxmlformats.org/drawingml/2006/picture">
                <pic:pic>
                  <pic:nvPicPr>
                    <pic:cNvPr id="0" name="image1.png"/>
                    <pic:cNvPicPr preferRelativeResize="0"/>
                  </pic:nvPicPr>
                  <pic:blipFill>
                    <a:blip r:embed="rId7"/>
                    <a:srcRect b="0" l="0" r="0" t="0"/>
                    <a:stretch>
                      <a:fillRect/>
                    </a:stretch>
                  </pic:blipFill>
                  <pic:spPr>
                    <a:xfrm>
                      <a:off x="0" y="0"/>
                      <a:ext cx="1969137" cy="162314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05">
      <w:pPr>
        <w:spacing w:after="120" w:line="360" w:lineRule="auto"/>
        <w:jc w:val="center"/>
        <w:rPr>
          <w:rFonts w:ascii="Times New Roman" w:cs="Times New Roman" w:eastAsia="Times New Roman" w:hAnsi="Times New Roman"/>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06">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ĐỒ ÁN KẾT THÚC MÔN</w:t>
      </w:r>
    </w:p>
    <w:p w:rsidR="00000000" w:rsidDel="00000000" w:rsidP="00000000" w:rsidRDefault="00000000" w:rsidRPr="00000000" w14:paraId="00000007">
      <w:pPr>
        <w:spacing w:after="120" w:line="360" w:lineRule="auto"/>
        <w:jc w:val="center"/>
        <w:rPr>
          <w:rFonts w:ascii="Times New Roman" w:cs="Times New Roman" w:eastAsia="Times New Roman" w:hAnsi="Times New Roman"/>
          <w:b w:val="1"/>
          <w:bCs w:val="1"/>
          <w:sz w:val="32"/>
          <w:szCs w:val="32"/>
        </w:rPr>
      </w:pPr>
      <w:r w:rsidDel="00000000" w:rsidR="00000000" w:rsidRPr="00000000">
        <w:rPr>
          <w:rFonts w:ascii="Times New Roman" w:cs="Times New Roman" w:eastAsia="Times New Roman" w:hAnsi="Times New Roman"/>
          <w:b w:val="1"/>
          <w:bCs w:val="1"/>
          <w:color w:val="000000"/>
          <w:sz w:val="32"/>
          <w:szCs w:val="32"/>
          <w:rtl w:val="0"/>
        </w:rPr>
        <w:t xml:space="preserve">VIETTEL POST</w:t>
      </w:r>
    </w:p>
    <w:p w:rsidR="00000000" w:rsidDel="00000000" w:rsidP="00000000" w:rsidRDefault="00000000" w:rsidRPr="00000000" w14:paraId="00000008">
      <w:pPr>
        <w:spacing w:after="120" w:line="36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color w:val="000000"/>
          <w:sz w:val="28"/>
          <w:szCs w:val="28"/>
          <w:rtl w:val="0"/>
        </w:rPr>
        <w:t xml:space="preserve">MÔN: HỆ THỐNG QUẢN TRỊ QUI TRÌNH NGHIỆP VỤ</w:t>
      </w:r>
    </w:p>
    <w:p w:rsidR="00000000" w:rsidDel="00000000" w:rsidP="00000000" w:rsidRDefault="00000000" w:rsidRPr="00000000" w14:paraId="00000009">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A">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B">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Môn học: IE203.F32.LT.CNTT</w:t>
      </w:r>
    </w:p>
    <w:p w:rsidR="00000000" w:rsidDel="00000000" w:rsidP="00000000" w:rsidRDefault="00000000" w:rsidRPr="00000000" w14:paraId="0000000C">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Giảng viên hướng dẫn: ThS. Hà Lê Hoài Trung</w:t>
      </w:r>
    </w:p>
    <w:p w:rsidR="00000000" w:rsidDel="00000000" w:rsidP="00000000" w:rsidRDefault="00000000" w:rsidRPr="00000000" w14:paraId="0000000D">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E">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0F">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Thông tin nhóm thực hiện: </w:t>
      </w:r>
    </w:p>
    <w:p w:rsidR="00000000" w:rsidDel="00000000" w:rsidP="00000000" w:rsidRDefault="00000000" w:rsidRPr="00000000" w14:paraId="00000010">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Nhóm 8</w:t>
      </w:r>
    </w:p>
    <w:p w:rsidR="00000000" w:rsidDel="00000000" w:rsidP="00000000" w:rsidRDefault="00000000" w:rsidRPr="00000000" w14:paraId="00000011">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Lớp: LT.K2025.2-CNTT</w:t>
      </w:r>
    </w:p>
    <w:p w:rsidR="00000000" w:rsidDel="00000000" w:rsidP="00000000" w:rsidRDefault="00000000" w:rsidRPr="00000000" w14:paraId="00000012">
      <w:pPr>
        <w:spacing w:after="120" w:line="36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color w:val="000000"/>
          <w:sz w:val="28"/>
          <w:szCs w:val="28"/>
          <w:rtl w:val="0"/>
        </w:rPr>
        <w:t xml:space="preserve">Ngày thực hiện: 9/7/2026</w:t>
      </w:r>
    </w:p>
    <w:p w:rsidR="00000000" w:rsidDel="00000000" w:rsidP="00000000" w:rsidRDefault="00000000" w:rsidRPr="00000000" w14:paraId="00000013">
      <w:pPr>
        <w:spacing w:after="120" w:line="360" w:lineRule="auto"/>
        <w:rPr>
          <w:rFonts w:ascii="Times New Roman" w:cs="Times New Roman" w:eastAsia="Times New Roman" w:hAnsi="Times New Roman"/>
          <w:sz w:val="28"/>
          <w:szCs w:val="28"/>
        </w:rPr>
      </w:pPr>
      <w:r w:rsidDel="00000000" w:rsidR="00000000" w:rsidRPr="00000000">
        <w:rPr>
          <w:rFonts w:ascii="Times New Roman" w:hAnsi="Times New Roman"/>
          <w:color w:val="000000"/>
          <w:rtl w:val="0"/>
        </w:rPr>
      </w:r>
    </w:p>
    <w:p w:rsidR="00000000" w:rsidDel="00000000" w:rsidP="00000000" w:rsidRDefault="00000000" w:rsidRPr="00000000" w14:paraId="00000014">
      <w:pPr>
        <w:pStyle w:val="Title"/>
        <w:spacing w:after="120" w:line="360" w:lineRule="auto"/>
        <w:rPr>
          <w:rFonts w:ascii="Times New Roman" w:cs="Times New Roman" w:eastAsia="Times New Roman" w:hAnsi="Times New Roman"/>
          <w:b w:val="1"/>
          <w:bCs w:val="1"/>
          <w:sz w:val="26"/>
          <w:szCs w:val="26"/>
        </w:rPr>
      </w:pPr>
      <w:bookmarkStart w:colFirst="0" w:colLast="0" w:name="_heading=h.apr395htqfvf" w:id="0"/>
      <w:bookmarkEnd w:id="0"/>
      <w:r w:rsidDel="00000000" w:rsidR="00000000" w:rsidRPr="00000000">
        <w:rPr>
          <w:rFonts w:ascii="Times New Roman" w:hAnsi="Times New Roman"/>
          <w:color w:val="000000"/>
          <w:rtl w:val="0"/>
        </w:rPr>
      </w:r>
    </w:p>
    <w:p w:rsidR="00000000" w:rsidDel="00000000" w:rsidP="00000000" w:rsidRDefault="00000000" w:rsidRPr="00000000" w14:paraId="0000001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16">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bs8iwhvq77s7" w:id="1"/>
      <w:bookmarkEnd w:id="1"/>
      <w:r w:rsidDel="00000000" w:rsidR="00000000" w:rsidRPr="00000000">
        <w:rPr>
          <w:rFonts w:ascii="Times New Roman" w:cs="Times New Roman" w:eastAsia="Times New Roman" w:hAnsi="Times New Roman"/>
          <w:b w:val="1"/>
          <w:bCs w:val="1"/>
          <w:color w:val="000000"/>
          <w:sz w:val="28"/>
          <w:szCs w:val="28"/>
          <w:rtl w:val="0"/>
        </w:rPr>
        <w:t xml:space="preserve">DANH SÁCH NHÓM</w:t>
      </w:r>
    </w:p>
    <w:sdt>
      <w:sdtPr>
        <w:lock w:val="contentLocked"/>
        <w:id w:val="-834397995"/>
        <w:tag w:val="goog_rdk_0"/>
      </w:sdtPr>
      <w:sdtContent>
        <w:tbl>
          <w:tblPr>
            <w:tblStyle w:val="Table1"/>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fixed"/>
            <w:tblLook w:val="0600"/>
          </w:tblPr>
          <w:tblGrid>
            <w:gridCol w:w="4513"/>
            <w:gridCol w:w="4513"/>
            <w:tblGridChange w:id="0">
              <w:tblGrid>
                <w:gridCol w:w="4513"/>
                <w:gridCol w:w="4513"/>
              </w:tblGrid>
            </w:tblGridChange>
          </w:tblGrid>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7">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MÃ SINH VIÊN</w:t>
                </w:r>
              </w:p>
            </w:tc>
            <w:tc>
              <w:tcPr>
                <w:shd w:fill="auto" w:val="clear"/>
                <w:tcMar>
                  <w:top w:w="100.0" w:type="dxa"/>
                  <w:left w:w="100.0" w:type="dxa"/>
                  <w:bottom w:w="100.0" w:type="dxa"/>
                  <w:right w:w="100.0" w:type="dxa"/>
                </w:tcMar>
              </w:tcPr>
              <w:p w:rsidR="00000000" w:rsidDel="00000000" w:rsidP="00000000" w:rsidRDefault="00000000" w:rsidRPr="00000000" w14:paraId="00000018">
                <w:pPr>
                  <w:widowControl w:val="0"/>
                  <w:spacing w:line="240" w:lineRule="auto"/>
                  <w:jc w:val="center"/>
                  <w:rPr>
                    <w:rFonts w:ascii="Times New Roman" w:cs="Times New Roman" w:eastAsia="Times New Roman" w:hAnsi="Times New Roman"/>
                    <w:b w:val="1"/>
                    <w:bCs w:val="1"/>
                    <w:sz w:val="28"/>
                    <w:szCs w:val="28"/>
                  </w:rPr>
                </w:pPr>
                <w:r w:rsidDel="00000000" w:rsidR="00000000" w:rsidRPr="00000000">
                  <w:rPr>
                    <w:rFonts w:ascii="Times New Roman" w:cs="Times New Roman" w:eastAsia="Times New Roman" w:hAnsi="Times New Roman"/>
                    <w:b w:val="1"/>
                    <w:bCs w:val="1"/>
                    <w:sz w:val="28"/>
                    <w:szCs w:val="28"/>
                    <w:rtl w:val="0"/>
                  </w:rPr>
                  <w:t xml:space="preserve">HỌ VÀ TÊN</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9">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25410232</w:t>
                </w:r>
              </w:p>
            </w:tc>
            <w:tc>
              <w:tcPr>
                <w:shd w:fill="auto" w:val="clear"/>
                <w:tcMar>
                  <w:top w:w="100.0" w:type="dxa"/>
                  <w:left w:w="100.0" w:type="dxa"/>
                  <w:bottom w:w="100.0" w:type="dxa"/>
                  <w:right w:w="100.0" w:type="dxa"/>
                </w:tcMar>
              </w:tcPr>
              <w:p w:rsidR="00000000" w:rsidDel="00000000" w:rsidP="00000000" w:rsidRDefault="00000000" w:rsidRPr="00000000" w14:paraId="0000001A">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NGỌC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B">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25410198</w:t>
                </w:r>
              </w:p>
            </w:tc>
            <w:tc>
              <w:tcPr>
                <w:shd w:fill="auto" w:val="clear"/>
                <w:tcMar>
                  <w:top w:w="100.0" w:type="dxa"/>
                  <w:left w:w="100.0" w:type="dxa"/>
                  <w:bottom w:w="100.0" w:type="dxa"/>
                  <w:right w:w="100.0" w:type="dxa"/>
                </w:tcMar>
              </w:tcPr>
              <w:p w:rsidR="00000000" w:rsidDel="00000000" w:rsidP="00000000" w:rsidRDefault="00000000" w:rsidRPr="00000000" w14:paraId="0000001C">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VIỆT HẢI</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D">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25410203</w:t>
                </w:r>
              </w:p>
            </w:tc>
            <w:tc>
              <w:tcPr>
                <w:shd w:fill="auto" w:val="clear"/>
                <w:tcMar>
                  <w:top w:w="100.0" w:type="dxa"/>
                  <w:left w:w="100.0" w:type="dxa"/>
                  <w:bottom w:w="100.0" w:type="dxa"/>
                  <w:right w:w="100.0" w:type="dxa"/>
                </w:tcMar>
              </w:tcPr>
              <w:p w:rsidR="00000000" w:rsidDel="00000000" w:rsidP="00000000" w:rsidRDefault="00000000" w:rsidRPr="00000000" w14:paraId="0000001E">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ĐẶNG VĂN HẬU</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1F">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25410233</w:t>
                </w:r>
              </w:p>
            </w:tc>
            <w:tc>
              <w:tcPr>
                <w:shd w:fill="auto" w:val="clear"/>
                <w:tcMar>
                  <w:top w:w="100.0" w:type="dxa"/>
                  <w:left w:w="100.0" w:type="dxa"/>
                  <w:bottom w:w="100.0" w:type="dxa"/>
                  <w:right w:w="100.0" w:type="dxa"/>
                </w:tcMar>
              </w:tcPr>
              <w:p w:rsidR="00000000" w:rsidDel="00000000" w:rsidP="00000000" w:rsidRDefault="00000000" w:rsidRPr="00000000" w14:paraId="00000020">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TRẦN NGUYỄN GIA HUY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1">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25410194</w:t>
                </w:r>
              </w:p>
            </w:tc>
            <w:tc>
              <w:tcPr>
                <w:shd w:fill="auto" w:val="clear"/>
                <w:tcMar>
                  <w:top w:w="100.0" w:type="dxa"/>
                  <w:left w:w="100.0" w:type="dxa"/>
                  <w:bottom w:w="100.0" w:type="dxa"/>
                  <w:right w:w="100.0" w:type="dxa"/>
                </w:tcMar>
              </w:tcPr>
              <w:p w:rsidR="00000000" w:rsidDel="00000000" w:rsidP="00000000" w:rsidRDefault="00000000" w:rsidRPr="00000000" w14:paraId="00000022">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DUY</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3">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25410246</w:t>
                </w:r>
              </w:p>
            </w:tc>
            <w:tc>
              <w:tcPr>
                <w:shd w:fill="auto" w:val="clear"/>
                <w:tcMar>
                  <w:top w:w="100.0" w:type="dxa"/>
                  <w:left w:w="100.0" w:type="dxa"/>
                  <w:bottom w:w="100.0" w:type="dxa"/>
                  <w:right w:w="100.0" w:type="dxa"/>
                </w:tcMar>
              </w:tcPr>
              <w:p w:rsidR="00000000" w:rsidDel="00000000" w:rsidP="00000000" w:rsidRDefault="00000000" w:rsidRPr="00000000" w14:paraId="00000024">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HUỲNH ĐẠI LONG</w:t>
                </w:r>
              </w:p>
            </w:tc>
          </w:tr>
          <w:tr>
            <w:trPr>
              <w:cantSplit w:val="1"/>
              <w:tblHeader w:val="0"/>
            </w:trPr>
            <w:tc>
              <w:tcPr>
                <w:shd w:fill="auto" w:val="clear"/>
                <w:tcMar>
                  <w:top w:w="100.0" w:type="dxa"/>
                  <w:left w:w="100.0" w:type="dxa"/>
                  <w:bottom w:w="100.0" w:type="dxa"/>
                  <w:right w:w="100.0" w:type="dxa"/>
                </w:tcMar>
              </w:tcPr>
              <w:p w:rsidR="00000000" w:rsidDel="00000000" w:rsidP="00000000" w:rsidRDefault="00000000" w:rsidRPr="00000000" w14:paraId="00000025">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25410230</w:t>
                </w:r>
              </w:p>
            </w:tc>
            <w:tc>
              <w:tcPr>
                <w:shd w:fill="auto" w:val="clear"/>
                <w:tcMar>
                  <w:top w:w="100.0" w:type="dxa"/>
                  <w:left w:w="100.0" w:type="dxa"/>
                  <w:bottom w:w="100.0" w:type="dxa"/>
                  <w:right w:w="100.0" w:type="dxa"/>
                </w:tcMar>
              </w:tcPr>
              <w:p w:rsidR="00000000" w:rsidDel="00000000" w:rsidP="00000000" w:rsidRDefault="00000000" w:rsidRPr="00000000" w14:paraId="00000026">
                <w:pPr>
                  <w:widowControl w:val="0"/>
                  <w:spacing w:line="240" w:lineRule="auto"/>
                  <w:jc w:val="center"/>
                  <w:rPr>
                    <w:rFonts w:ascii="Times New Roman" w:cs="Times New Roman" w:eastAsia="Times New Roman" w:hAnsi="Times New Roman"/>
                    <w:sz w:val="28"/>
                    <w:szCs w:val="28"/>
                  </w:rPr>
                </w:pPr>
                <w:r w:rsidDel="00000000" w:rsidR="00000000" w:rsidRPr="00000000">
                  <w:rPr>
                    <w:rFonts w:ascii="Times New Roman" w:cs="Times New Roman" w:eastAsia="Times New Roman" w:hAnsi="Times New Roman"/>
                    <w:sz w:val="28"/>
                    <w:szCs w:val="28"/>
                    <w:rtl w:val="0"/>
                  </w:rPr>
                  <w:t xml:space="preserve">NGUYỄN THANH HUY</w:t>
                </w:r>
              </w:p>
            </w:tc>
          </w:tr>
        </w:tbl>
      </w:sdtContent>
    </w:sdt>
    <w:p w:rsidR="00000000" w:rsidDel="00000000" w:rsidP="00000000" w:rsidRDefault="00000000" w:rsidRPr="00000000" w14:paraId="00000027">
      <w:pPr>
        <w:pStyle w:val="Title"/>
        <w:spacing w:after="120" w:line="360" w:lineRule="auto"/>
        <w:rPr>
          <w:rFonts w:ascii="Times New Roman" w:cs="Times New Roman" w:eastAsia="Times New Roman" w:hAnsi="Times New Roman"/>
          <w:b w:val="1"/>
          <w:bCs w:val="1"/>
          <w:sz w:val="26"/>
          <w:szCs w:val="26"/>
        </w:rPr>
      </w:pPr>
      <w:bookmarkStart w:colFirst="0" w:colLast="0" w:name="_heading=h.n1e4ezb4lbxo" w:id="2"/>
      <w:bookmarkEnd w:id="2"/>
      <w:r w:rsidDel="00000000" w:rsidR="00000000" w:rsidRPr="00000000">
        <w:rPr>
          <w:rFonts w:ascii="Times New Roman" w:hAnsi="Times New Roman"/>
          <w:color w:val="000000"/>
          <w:rtl w:val="0"/>
        </w:rPr>
      </w:r>
    </w:p>
    <w:p w:rsidR="00000000" w:rsidDel="00000000" w:rsidP="00000000" w:rsidRDefault="00000000" w:rsidRPr="00000000" w14:paraId="00000028">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x1grxj3of02c" w:id="3"/>
      <w:bookmarkEnd w:id="3"/>
      <w:r w:rsidDel="00000000" w:rsidR="00000000" w:rsidRPr="00000000">
        <w:rPr>
          <w:rFonts w:ascii="Times New Roman" w:hAnsi="Times New Roman"/>
          <w:color w:val="000000"/>
          <w:rtl w:val="0"/>
        </w:rPr>
      </w:r>
    </w:p>
    <w:p w:rsidR="00000000" w:rsidDel="00000000" w:rsidP="00000000" w:rsidRDefault="00000000" w:rsidRPr="00000000" w14:paraId="00000029">
      <w:pPr>
        <w:pStyle w:val="Title"/>
        <w:spacing w:after="120" w:line="360" w:lineRule="auto"/>
        <w:rPr>
          <w:rFonts w:ascii="Times New Roman" w:cs="Times New Roman" w:eastAsia="Times New Roman" w:hAnsi="Times New Roman"/>
          <w:b w:val="1"/>
          <w:bCs w:val="1"/>
          <w:sz w:val="26"/>
          <w:szCs w:val="26"/>
        </w:rPr>
      </w:pPr>
      <w:bookmarkStart w:colFirst="0" w:colLast="0" w:name="_heading=h.ii8ph8qw39uv" w:id="4"/>
      <w:bookmarkEnd w:id="4"/>
      <w:r w:rsidDel="00000000" w:rsidR="00000000" w:rsidRPr="00000000">
        <w:rPr>
          <w:rFonts w:ascii="Times New Roman" w:hAnsi="Times New Roman"/>
          <w:color w:val="000000"/>
          <w:rtl w:val="0"/>
        </w:rPr>
      </w:r>
    </w:p>
    <w:p w:rsidR="00000000" w:rsidDel="00000000" w:rsidP="00000000" w:rsidRDefault="00000000" w:rsidRPr="00000000" w14:paraId="0000002A">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2C">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i74suuuhwxe" w:id="5"/>
      <w:bookmarkEnd w:id="5"/>
      <w:r w:rsidDel="00000000" w:rsidR="00000000" w:rsidRPr="00000000">
        <w:rPr>
          <w:rFonts w:ascii="Times New Roman" w:hAnsi="Times New Roman"/>
          <w:color w:val="000000"/>
          <w:rtl w:val="0"/>
        </w:rPr>
      </w:r>
    </w:p>
    <w:p w:rsidR="00000000" w:rsidDel="00000000" w:rsidP="00000000" w:rsidRDefault="00000000" w:rsidRPr="00000000" w14:paraId="0000002D">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h98tpe1x66ib" w:id="6"/>
      <w:bookmarkEnd w:id="6"/>
      <w:r w:rsidDel="00000000" w:rsidR="00000000" w:rsidRPr="00000000">
        <w:rPr>
          <w:rFonts w:ascii="Times New Roman" w:hAnsi="Times New Roman"/>
          <w:color w:val="000000"/>
          <w:rtl w:val="0"/>
        </w:rPr>
      </w:r>
    </w:p>
    <w:p w:rsidR="00000000" w:rsidDel="00000000" w:rsidP="00000000" w:rsidRDefault="00000000" w:rsidRPr="00000000" w14:paraId="0000002E">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4wo8hccfrgpo" w:id="7"/>
      <w:bookmarkEnd w:id="7"/>
      <w:r w:rsidDel="00000000" w:rsidR="00000000" w:rsidRPr="00000000">
        <w:rPr>
          <w:rFonts w:ascii="Times New Roman" w:hAnsi="Times New Roman"/>
          <w:color w:val="000000"/>
          <w:rtl w:val="0"/>
        </w:rPr>
      </w:r>
    </w:p>
    <w:p w:rsidR="00000000" w:rsidDel="00000000" w:rsidP="00000000" w:rsidRDefault="00000000" w:rsidRPr="00000000" w14:paraId="0000002F">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9fsat4sl1sxs" w:id="8"/>
      <w:bookmarkEnd w:id="8"/>
      <w:r w:rsidDel="00000000" w:rsidR="00000000" w:rsidRPr="00000000">
        <w:rPr>
          <w:rFonts w:ascii="Times New Roman" w:hAnsi="Times New Roman"/>
          <w:color w:val="000000"/>
          <w:rtl w:val="0"/>
        </w:rPr>
      </w:r>
    </w:p>
    <w:p w:rsidR="00000000" w:rsidDel="00000000" w:rsidP="00000000" w:rsidRDefault="00000000" w:rsidRPr="00000000" w14:paraId="00000030">
      <w:pPr>
        <w:pStyle w:val="Title"/>
        <w:spacing w:after="120" w:line="360" w:lineRule="auto"/>
        <w:rPr>
          <w:rFonts w:ascii="Times New Roman" w:cs="Times New Roman" w:eastAsia="Times New Roman" w:hAnsi="Times New Roman"/>
          <w:b w:val="1"/>
          <w:bCs w:val="1"/>
          <w:sz w:val="26"/>
          <w:szCs w:val="26"/>
        </w:rPr>
      </w:pPr>
      <w:bookmarkStart w:colFirst="0" w:colLast="0" w:name="_heading=h.fwch3ucher3" w:id="9"/>
      <w:bookmarkEnd w:id="9"/>
      <w:r w:rsidDel="00000000" w:rsidR="00000000" w:rsidRPr="00000000">
        <w:rPr>
          <w:rFonts w:ascii="Times New Roman" w:hAnsi="Times New Roman"/>
          <w:color w:val="000000"/>
          <w:rtl w:val="0"/>
        </w:rPr>
      </w:r>
    </w:p>
    <w:p w:rsidR="00000000" w:rsidDel="00000000" w:rsidP="00000000" w:rsidRDefault="00000000" w:rsidRPr="00000000" w14:paraId="00000031">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2">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3">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4">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5">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6">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7">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39">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fcs85kp5pvu" w:id="10"/>
      <w:bookmarkEnd w:id="10"/>
      <w:r w:rsidDel="00000000" w:rsidR="00000000" w:rsidRPr="00000000">
        <w:rPr>
          <w:rFonts w:ascii="Times New Roman" w:hAnsi="Times New Roman"/>
          <w:color w:val="000000"/>
          <w:rtl w:val="0"/>
        </w:rPr>
      </w:r>
    </w:p>
    <w:p w:rsidR="00000000" w:rsidDel="00000000" w:rsidP="00000000" w:rsidRDefault="00000000" w:rsidRPr="00000000" w14:paraId="0000003A">
      <w:pPr>
        <w:pStyle w:val="Title"/>
        <w:spacing w:after="120" w:line="360" w:lineRule="auto"/>
        <w:jc w:val="center"/>
        <w:rPr>
          <w:rFonts w:ascii="Times New Roman" w:cs="Times New Roman" w:eastAsia="Times New Roman" w:hAnsi="Times New Roman"/>
          <w:b w:val="1"/>
          <w:bCs w:val="1"/>
          <w:sz w:val="28"/>
          <w:szCs w:val="28"/>
        </w:rPr>
      </w:pPr>
      <w:bookmarkStart w:colFirst="0" w:colLast="0" w:name="_heading=h.j8ylmu7ba58" w:id="11"/>
      <w:bookmarkEnd w:id="11"/>
      <w:r w:rsidDel="00000000" w:rsidR="00000000" w:rsidRPr="00000000">
        <w:rPr>
          <w:rFonts w:ascii="Times New Roman" w:cs="Times New Roman" w:eastAsia="Times New Roman" w:hAnsi="Times New Roman"/>
          <w:b w:val="1"/>
          <w:bCs w:val="1"/>
          <w:color w:val="000000"/>
          <w:sz w:val="28"/>
          <w:szCs w:val="28"/>
          <w:rtl w:val="0"/>
        </w:rPr>
        <w:t xml:space="preserve">MỤC LỤC</w:t>
      </w:r>
    </w:p>
    <w:sdt>
      <w:sdtPr>
        <w:id w:val="2055875996"/>
        <w:docPartObj>
          <w:docPartGallery w:val="Table of Contents"/>
          <w:docPartUnique w:val="1"/>
        </w:docPartObj>
      </w:sdtPr>
      <w:sdtContent>
        <w:p w:rsidR="00000000" w:rsidDel="00000000" w:rsidP="00000000" w:rsidRDefault="00000000" w:rsidRPr="00000000" w14:paraId="0000003B">
          <w:pPr>
            <w:spacing w:after="0" w:before="0" w:line="240" w:lineRule="auto"/>
            <w:rPr/>
          </w:pPr>
          <w:r w:rsidDel="00000000" w:rsidR="00000000" w:rsidRPr="00000000">
            <w:fldChar w:fldCharType="begin"/>
            <w:instrText xml:space="preserve"> TOC \h \u \z \t "Heading 1,1,Heading 2,2,Heading 3,3,"</w:instrText>
            <w:fldChar w:fldCharType="separate"/>
          </w:r>
          <w:r w:rsidDel="00000000" w:rsidR="00000000" w:rsidRPr="00000000">
            <w:rPr>
              <w:rtl w:val="0"/>
            </w:rPr>
          </w:r>
        </w:p>
        <w:p w:rsidR="00000000" w:rsidDel="00000000" w:rsidP="00000000" w:rsidRDefault="00000000" w:rsidRPr="00000000" w14:paraId="0000003C">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5ip9z81ma7h5">
            <w:r w:rsidDel="00000000" w:rsidR="00000000" w:rsidRPr="00000000">
              <w:rPr>
                <w:rFonts w:ascii="Times New Roman" w:cs="Times New Roman" w:eastAsia="Times New Roman" w:hAnsi="Times New Roman"/>
                <w:b w:val="1"/>
                <w:bCs w:val="1"/>
                <w:color w:val="000000"/>
                <w:rtl w:val="0"/>
              </w:rPr>
              <w:t xml:space="preserve">CHƯƠNG 1. GIỚI THIỆU CÔNG TY VIETTEL POST</w:t>
              <w:tab/>
              <w:t xml:space="preserve">4</w:t>
            </w:r>
          </w:hyperlink>
          <w:r w:rsidDel="00000000" w:rsidR="00000000" w:rsidRPr="00000000">
            <w:rPr>
              <w:rtl w:val="0"/>
            </w:rPr>
          </w:r>
        </w:p>
        <w:p w:rsidR="00000000" w:rsidDel="00000000" w:rsidP="00000000" w:rsidRDefault="00000000" w:rsidRPr="00000000" w14:paraId="0000003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vmnuwuyvtqor">
            <w:r w:rsidDel="00000000" w:rsidR="00000000" w:rsidRPr="00000000">
              <w:rPr>
                <w:rFonts w:ascii="Times New Roman" w:cs="Times New Roman" w:eastAsia="Times New Roman" w:hAnsi="Times New Roman"/>
                <w:color w:val="000000"/>
                <w:rtl w:val="0"/>
              </w:rPr>
              <w:t xml:space="preserve">1.1. Tổng quan về Viettel Post</w:t>
              <w:tab/>
              <w:t xml:space="preserve">4</w:t>
            </w:r>
          </w:hyperlink>
          <w:r w:rsidDel="00000000" w:rsidR="00000000" w:rsidRPr="00000000">
            <w:rPr>
              <w:rtl w:val="0"/>
            </w:rPr>
          </w:r>
        </w:p>
        <w:p w:rsidR="00000000" w:rsidDel="00000000" w:rsidP="00000000" w:rsidRDefault="00000000" w:rsidRPr="00000000" w14:paraId="0000003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2p8d7p44ucx">
            <w:r w:rsidDel="00000000" w:rsidR="00000000" w:rsidRPr="00000000">
              <w:rPr>
                <w:rFonts w:ascii="Times New Roman" w:cs="Times New Roman" w:eastAsia="Times New Roman" w:hAnsi="Times New Roman"/>
                <w:color w:val="000000"/>
                <w:rtl w:val="0"/>
              </w:rPr>
              <w:t xml:space="preserve">1.1.1. Lịch sử hình thành</w:t>
              <w:tab/>
              <w:t xml:space="preserve">4</w:t>
            </w:r>
          </w:hyperlink>
          <w:r w:rsidDel="00000000" w:rsidR="00000000" w:rsidRPr="00000000">
            <w:rPr>
              <w:rtl w:val="0"/>
            </w:rPr>
          </w:r>
        </w:p>
        <w:p w:rsidR="00000000" w:rsidDel="00000000" w:rsidP="00000000" w:rsidRDefault="00000000" w:rsidRPr="00000000" w14:paraId="0000003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8v6k7owr948d">
            <w:r w:rsidDel="00000000" w:rsidR="00000000" w:rsidRPr="00000000">
              <w:rPr>
                <w:rFonts w:ascii="Times New Roman" w:cs="Times New Roman" w:eastAsia="Times New Roman" w:hAnsi="Times New Roman"/>
                <w:color w:val="000000"/>
                <w:rtl w:val="0"/>
              </w:rPr>
              <w:t xml:space="preserve">1.1.2. Quy mô và lĩnh vực kinh doanh</w:t>
              <w:tab/>
              <w:t xml:space="preserve">4</w:t>
            </w:r>
          </w:hyperlink>
          <w:r w:rsidDel="00000000" w:rsidR="00000000" w:rsidRPr="00000000">
            <w:rPr>
              <w:rtl w:val="0"/>
            </w:rPr>
          </w:r>
        </w:p>
        <w:p w:rsidR="00000000" w:rsidDel="00000000" w:rsidP="00000000" w:rsidRDefault="00000000" w:rsidRPr="00000000" w14:paraId="00000040">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ykaumbxeisp">
            <w:r w:rsidDel="00000000" w:rsidR="00000000" w:rsidRPr="00000000">
              <w:rPr>
                <w:rFonts w:ascii="Times New Roman" w:cs="Times New Roman" w:eastAsia="Times New Roman" w:hAnsi="Times New Roman"/>
                <w:color w:val="000000"/>
                <w:rtl w:val="0"/>
              </w:rPr>
              <w:t xml:space="preserve">1.1.3. Thành tựu nổi bật</w:t>
              <w:tab/>
              <w:t xml:space="preserve">5</w:t>
            </w:r>
          </w:hyperlink>
          <w:r w:rsidDel="00000000" w:rsidR="00000000" w:rsidRPr="00000000">
            <w:rPr>
              <w:rtl w:val="0"/>
            </w:rPr>
          </w:r>
        </w:p>
        <w:p w:rsidR="00000000" w:rsidDel="00000000" w:rsidP="00000000" w:rsidRDefault="00000000" w:rsidRPr="00000000" w14:paraId="00000041">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l6yp09jm84tu">
            <w:r w:rsidDel="00000000" w:rsidR="00000000" w:rsidRPr="00000000">
              <w:rPr>
                <w:rFonts w:ascii="Times New Roman" w:cs="Times New Roman" w:eastAsia="Times New Roman" w:hAnsi="Times New Roman"/>
                <w:color w:val="000000"/>
                <w:rtl w:val="0"/>
              </w:rPr>
              <w:t xml:space="preserve">1.2. Cơ cấu tổ chức và hoạt động kinh doanh</w:t>
              <w:tab/>
              <w:t xml:space="preserve">5</w:t>
            </w:r>
          </w:hyperlink>
          <w:r w:rsidDel="00000000" w:rsidR="00000000" w:rsidRPr="00000000">
            <w:rPr>
              <w:rtl w:val="0"/>
            </w:rPr>
          </w:r>
        </w:p>
        <w:p w:rsidR="00000000" w:rsidDel="00000000" w:rsidP="00000000" w:rsidRDefault="00000000" w:rsidRPr="00000000" w14:paraId="00000042">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652btxd204c">
            <w:r w:rsidDel="00000000" w:rsidR="00000000" w:rsidRPr="00000000">
              <w:rPr>
                <w:rFonts w:ascii="Times New Roman" w:cs="Times New Roman" w:eastAsia="Times New Roman" w:hAnsi="Times New Roman"/>
                <w:color w:val="000000"/>
                <w:rtl w:val="0"/>
              </w:rPr>
              <w:t xml:space="preserve">1.2.1. Cơ cấu tổ chức</w:t>
              <w:tab/>
              <w:t xml:space="preserve">5</w:t>
            </w:r>
          </w:hyperlink>
          <w:r w:rsidDel="00000000" w:rsidR="00000000" w:rsidRPr="00000000">
            <w:rPr>
              <w:rtl w:val="0"/>
            </w:rPr>
          </w:r>
        </w:p>
        <w:p w:rsidR="00000000" w:rsidDel="00000000" w:rsidP="00000000" w:rsidRDefault="00000000" w:rsidRPr="00000000" w14:paraId="00000043">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kqwts6z2y730">
            <w:r w:rsidDel="00000000" w:rsidR="00000000" w:rsidRPr="00000000">
              <w:rPr>
                <w:rFonts w:ascii="Times New Roman" w:cs="Times New Roman" w:eastAsia="Times New Roman" w:hAnsi="Times New Roman"/>
                <w:color w:val="000000"/>
                <w:rtl w:val="0"/>
              </w:rPr>
              <w:t xml:space="preserve">1.2.2. Hoạt động kinh doanh</w:t>
              <w:tab/>
              <w:t xml:space="preserve">6</w:t>
            </w:r>
          </w:hyperlink>
          <w:r w:rsidDel="00000000" w:rsidR="00000000" w:rsidRPr="00000000">
            <w:rPr>
              <w:rtl w:val="0"/>
            </w:rPr>
          </w:r>
        </w:p>
        <w:p w:rsidR="00000000" w:rsidDel="00000000" w:rsidP="00000000" w:rsidRDefault="00000000" w:rsidRPr="00000000" w14:paraId="00000044">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c08p5998bw2m">
            <w:r w:rsidDel="00000000" w:rsidR="00000000" w:rsidRPr="00000000">
              <w:rPr>
                <w:rFonts w:ascii="Times New Roman" w:cs="Times New Roman" w:eastAsia="Times New Roman" w:hAnsi="Times New Roman"/>
                <w:b w:val="1"/>
                <w:bCs w:val="1"/>
                <w:color w:val="000000"/>
                <w:rtl w:val="0"/>
              </w:rPr>
              <w:t xml:space="preserve">CHƯƠNG 2. HỆ THỐNG QUY TRÌNH NGHIỆP VỤ VIETTELPOST</w:t>
              <w:tab/>
              <w:t xml:space="preserve">7</w:t>
            </w:r>
          </w:hyperlink>
          <w:r w:rsidDel="00000000" w:rsidR="00000000" w:rsidRPr="00000000">
            <w:rPr>
              <w:rtl w:val="0"/>
            </w:rPr>
          </w:r>
        </w:p>
        <w:p w:rsidR="00000000" w:rsidDel="00000000" w:rsidP="00000000" w:rsidRDefault="00000000" w:rsidRPr="00000000" w14:paraId="00000045">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crab755zs0ot">
            <w:r w:rsidDel="00000000" w:rsidR="00000000" w:rsidRPr="00000000">
              <w:rPr>
                <w:rFonts w:ascii="Times New Roman" w:cs="Times New Roman" w:eastAsia="Times New Roman" w:hAnsi="Times New Roman"/>
                <w:color w:val="000000"/>
                <w:rtl w:val="0"/>
              </w:rPr>
              <w:t xml:space="preserve">2.1. Kiến trúc quy trình nghiệp vụ của Viettel Post</w:t>
              <w:tab/>
              <w:t xml:space="preserve">7</w:t>
            </w:r>
          </w:hyperlink>
          <w:r w:rsidDel="00000000" w:rsidR="00000000" w:rsidRPr="00000000">
            <w:rPr>
              <w:rtl w:val="0"/>
            </w:rPr>
          </w:r>
        </w:p>
        <w:p w:rsidR="00000000" w:rsidDel="00000000" w:rsidP="00000000" w:rsidRDefault="00000000" w:rsidRPr="00000000" w14:paraId="00000046">
          <w:pPr>
            <w:widowControl w:val="0"/>
            <w:tabs>
              <w:tab w:val="right" w:leader="none" w:pos="9026"/>
            </w:tabs>
            <w:spacing w:after="0" w:before="60" w:line="240" w:lineRule="auto"/>
            <w:rPr>
              <w:rFonts w:ascii="Times New Roman" w:cs="Times New Roman" w:eastAsia="Times New Roman" w:hAnsi="Times New Roman"/>
              <w:b w:val="1"/>
              <w:bCs w:val="1"/>
              <w:color w:val="000000"/>
            </w:rPr>
          </w:pPr>
          <w:hyperlink w:anchor="_heading=h.vmi0cgelbdkp">
            <w:r w:rsidDel="00000000" w:rsidR="00000000" w:rsidRPr="00000000">
              <w:rPr>
                <w:rFonts w:ascii="Times New Roman" w:cs="Times New Roman" w:eastAsia="Times New Roman" w:hAnsi="Times New Roman"/>
                <w:b w:val="1"/>
                <w:bCs w:val="1"/>
                <w:color w:val="000000"/>
                <w:rtl w:val="0"/>
              </w:rPr>
              <w:t xml:space="preserve">CHƯƠNG 3. PHƯƠNG PHÁP THỰC HIỆN</w:t>
              <w:tab/>
              <w:t xml:space="preserve">11</w:t>
            </w:r>
          </w:hyperlink>
          <w:r w:rsidDel="00000000" w:rsidR="00000000" w:rsidRPr="00000000">
            <w:rPr>
              <w:rtl w:val="0"/>
            </w:rPr>
          </w:r>
        </w:p>
        <w:p w:rsidR="00000000" w:rsidDel="00000000" w:rsidP="00000000" w:rsidRDefault="00000000" w:rsidRPr="00000000" w14:paraId="00000047">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qa6z5ps1gk9s">
            <w:r w:rsidDel="00000000" w:rsidR="00000000" w:rsidRPr="00000000">
              <w:rPr>
                <w:rFonts w:ascii="Times New Roman" w:cs="Times New Roman" w:eastAsia="Times New Roman" w:hAnsi="Times New Roman"/>
                <w:color w:val="000000"/>
                <w:rtl w:val="0"/>
              </w:rPr>
              <w:t xml:space="preserve">3.1. Dựa trên bằng chứng</w:t>
              <w:tab/>
              <w:t xml:space="preserve">11</w:t>
            </w:r>
          </w:hyperlink>
          <w:r w:rsidDel="00000000" w:rsidR="00000000" w:rsidRPr="00000000">
            <w:rPr>
              <w:rtl w:val="0"/>
            </w:rPr>
          </w:r>
        </w:p>
        <w:p w:rsidR="00000000" w:rsidDel="00000000" w:rsidP="00000000" w:rsidRDefault="00000000" w:rsidRPr="00000000" w14:paraId="00000048">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ti848tb1ywo0">
            <w:r w:rsidDel="00000000" w:rsidR="00000000" w:rsidRPr="00000000">
              <w:rPr>
                <w:rFonts w:ascii="Times New Roman" w:cs="Times New Roman" w:eastAsia="Times New Roman" w:hAnsi="Times New Roman"/>
                <w:color w:val="000000"/>
                <w:rtl w:val="0"/>
              </w:rPr>
              <w:t xml:space="preserve">3.1.1. Sơ đồ tổ chức</w:t>
              <w:tab/>
              <w:t xml:space="preserve">12</w:t>
            </w:r>
          </w:hyperlink>
          <w:r w:rsidDel="00000000" w:rsidR="00000000" w:rsidRPr="00000000">
            <w:rPr>
              <w:rtl w:val="0"/>
            </w:rPr>
          </w:r>
        </w:p>
        <w:p w:rsidR="00000000" w:rsidDel="00000000" w:rsidP="00000000" w:rsidRDefault="00000000" w:rsidRPr="00000000" w14:paraId="00000049">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g1cwnkw65jwj">
            <w:r w:rsidDel="00000000" w:rsidR="00000000" w:rsidRPr="00000000">
              <w:rPr>
                <w:rFonts w:ascii="Times New Roman" w:cs="Times New Roman" w:eastAsia="Times New Roman" w:hAnsi="Times New Roman"/>
                <w:color w:val="000000"/>
                <w:rtl w:val="0"/>
              </w:rPr>
              <w:t xml:space="preserve">3.1.2. Kế hoạch làm việc</w:t>
              <w:tab/>
              <w:t xml:space="preserve">12</w:t>
            </w:r>
          </w:hyperlink>
          <w:r w:rsidDel="00000000" w:rsidR="00000000" w:rsidRPr="00000000">
            <w:rPr>
              <w:rtl w:val="0"/>
            </w:rPr>
          </w:r>
        </w:p>
        <w:p w:rsidR="00000000" w:rsidDel="00000000" w:rsidP="00000000" w:rsidRDefault="00000000" w:rsidRPr="00000000" w14:paraId="0000004A">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z3e7fxdkrg44">
            <w:r w:rsidDel="00000000" w:rsidR="00000000" w:rsidRPr="00000000">
              <w:rPr>
                <w:rFonts w:ascii="Times New Roman" w:cs="Times New Roman" w:eastAsia="Times New Roman" w:hAnsi="Times New Roman"/>
                <w:color w:val="000000"/>
                <w:rtl w:val="0"/>
              </w:rPr>
              <w:t xml:space="preserve">3.1.3. Thuật ngữ và sổ tay</w:t>
              <w:tab/>
              <w:t xml:space="preserve">13</w:t>
            </w:r>
          </w:hyperlink>
          <w:r w:rsidDel="00000000" w:rsidR="00000000" w:rsidRPr="00000000">
            <w:rPr>
              <w:rtl w:val="0"/>
            </w:rPr>
          </w:r>
        </w:p>
        <w:p w:rsidR="00000000" w:rsidDel="00000000" w:rsidP="00000000" w:rsidRDefault="00000000" w:rsidRPr="00000000" w14:paraId="0000004B">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6ujbbavxx9ky">
            <w:r w:rsidDel="00000000" w:rsidR="00000000" w:rsidRPr="00000000">
              <w:rPr>
                <w:rFonts w:ascii="Times New Roman" w:cs="Times New Roman" w:eastAsia="Times New Roman" w:hAnsi="Times New Roman"/>
                <w:color w:val="000000"/>
                <w:rtl w:val="0"/>
              </w:rPr>
              <w:t xml:space="preserve">3.1.4. Biểu mẫu nghiệp vụ</w:t>
              <w:tab/>
              <w:t xml:space="preserve">15</w:t>
            </w:r>
          </w:hyperlink>
          <w:r w:rsidDel="00000000" w:rsidR="00000000" w:rsidRPr="00000000">
            <w:rPr>
              <w:rtl w:val="0"/>
            </w:rPr>
          </w:r>
        </w:p>
        <w:p w:rsidR="00000000" w:rsidDel="00000000" w:rsidP="00000000" w:rsidRDefault="00000000" w:rsidRPr="00000000" w14:paraId="0000004C">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et3ypq93k49u">
            <w:r w:rsidDel="00000000" w:rsidR="00000000" w:rsidRPr="00000000">
              <w:rPr>
                <w:rFonts w:ascii="Times New Roman" w:cs="Times New Roman" w:eastAsia="Times New Roman" w:hAnsi="Times New Roman"/>
                <w:color w:val="000000"/>
                <w:rtl w:val="0"/>
              </w:rPr>
              <w:t xml:space="preserve">3.1.5. Mô tả quy trình hiện có</w:t>
              <w:tab/>
              <w:t xml:space="preserve">20</w:t>
            </w:r>
          </w:hyperlink>
          <w:r w:rsidDel="00000000" w:rsidR="00000000" w:rsidRPr="00000000">
            <w:rPr>
              <w:rtl w:val="0"/>
            </w:rPr>
          </w:r>
        </w:p>
        <w:p w:rsidR="00000000" w:rsidDel="00000000" w:rsidP="00000000" w:rsidRDefault="00000000" w:rsidRPr="00000000" w14:paraId="0000004D">
          <w:pPr>
            <w:widowControl w:val="0"/>
            <w:tabs>
              <w:tab w:val="right" w:leader="none" w:pos="9026"/>
            </w:tabs>
            <w:spacing w:after="0" w:before="60" w:line="240" w:lineRule="auto"/>
            <w:ind w:left="360" w:firstLine="0"/>
            <w:rPr>
              <w:rFonts w:ascii="Times New Roman" w:cs="Times New Roman" w:eastAsia="Times New Roman" w:hAnsi="Times New Roman"/>
              <w:color w:val="000000"/>
            </w:rPr>
          </w:pPr>
          <w:hyperlink w:anchor="_heading=h.d7gr71d7wd8s">
            <w:r w:rsidDel="00000000" w:rsidR="00000000" w:rsidRPr="00000000">
              <w:rPr>
                <w:rFonts w:ascii="Times New Roman" w:cs="Times New Roman" w:eastAsia="Times New Roman" w:hAnsi="Times New Roman"/>
                <w:color w:val="000000"/>
                <w:rtl w:val="0"/>
              </w:rPr>
              <w:t xml:space="preserve">3.2. Phỏng vấn</w:t>
              <w:tab/>
              <w:t xml:space="preserve">21</w:t>
            </w:r>
          </w:hyperlink>
          <w:r w:rsidDel="00000000" w:rsidR="00000000" w:rsidRPr="00000000">
            <w:rPr>
              <w:rtl w:val="0"/>
            </w:rPr>
          </w:r>
        </w:p>
        <w:p w:rsidR="00000000" w:rsidDel="00000000" w:rsidP="00000000" w:rsidRDefault="00000000" w:rsidRPr="00000000" w14:paraId="0000004E">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29eh2ssncqn">
            <w:r w:rsidDel="00000000" w:rsidR="00000000" w:rsidRPr="00000000">
              <w:rPr>
                <w:rFonts w:ascii="Times New Roman" w:cs="Times New Roman" w:eastAsia="Times New Roman" w:hAnsi="Times New Roman"/>
                <w:color w:val="000000"/>
                <w:rtl w:val="0"/>
              </w:rPr>
              <w:t xml:space="preserve">3.2.1. Câu hỏi định tính</w:t>
              <w:tab/>
              <w:t xml:space="preserve">22</w:t>
            </w:r>
          </w:hyperlink>
          <w:r w:rsidDel="00000000" w:rsidR="00000000" w:rsidRPr="00000000">
            <w:rPr>
              <w:rtl w:val="0"/>
            </w:rPr>
          </w:r>
        </w:p>
        <w:p w:rsidR="00000000" w:rsidDel="00000000" w:rsidP="00000000" w:rsidRDefault="00000000" w:rsidRPr="00000000" w14:paraId="0000004F">
          <w:pPr>
            <w:widowControl w:val="0"/>
            <w:tabs>
              <w:tab w:val="right" w:leader="none" w:pos="9026"/>
            </w:tabs>
            <w:spacing w:after="0" w:before="60" w:line="240" w:lineRule="auto"/>
            <w:ind w:left="720" w:firstLine="0"/>
            <w:rPr>
              <w:rFonts w:ascii="Times New Roman" w:cs="Times New Roman" w:eastAsia="Times New Roman" w:hAnsi="Times New Roman"/>
              <w:color w:val="000000"/>
            </w:rPr>
          </w:pPr>
          <w:hyperlink w:anchor="_heading=h.xjvcxqgb8zsa">
            <w:r w:rsidDel="00000000" w:rsidR="00000000" w:rsidRPr="00000000">
              <w:rPr>
                <w:rFonts w:ascii="Times New Roman" w:cs="Times New Roman" w:eastAsia="Times New Roman" w:hAnsi="Times New Roman"/>
                <w:color w:val="000000"/>
                <w:rtl w:val="0"/>
              </w:rPr>
              <w:t xml:space="preserve">3.2.2. Câu hỏi định lượng</w:t>
              <w:tab/>
              <w:t xml:space="preserve">24</w:t>
            </w:r>
          </w:hyperlink>
          <w:r w:rsidDel="00000000" w:rsidR="00000000" w:rsidRPr="00000000">
            <w:rPr>
              <w:rtl w:val="0"/>
            </w:rPr>
          </w:r>
          <w:r w:rsidDel="00000000" w:rsidR="00000000" w:rsidRPr="00000000">
            <w:fldChar w:fldCharType="end"/>
          </w:r>
        </w:p>
      </w:sdtContent>
    </w:sdt>
    <w:p w:rsidR="00000000" w:rsidDel="00000000" w:rsidP="00000000" w:rsidRDefault="00000000" w:rsidRPr="00000000" w14:paraId="00000050">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1">
      <w:pPr>
        <w:pStyle w:val="SkeletonPlaceholder"/>
        <w:spacing w:after="120" w:line="360" w:lineRule="auto"/>
        <w:jc w:val="left"/>
        <w:rPr>
          <w:rFonts w:ascii="Times New Roman" w:cs="Times New Roman" w:eastAsia="Times New Roman" w:hAnsi="Times New Roman"/>
          <w:b w:val="1"/>
          <w:bCs w:val="1"/>
          <w:sz w:val="26"/>
          <w:szCs w:val="26"/>
        </w:rPr>
      </w:pPr>
      <w:r>
        <w:rPr>
          <w:rFonts w:ascii="Times New Roman" w:hAnsi="Times New Roman"/>
          <w:i/>
          <w:color w:val="7F7F7F"/>
          <w:sz w:val="22"/>
          <w:highlight w:val="yellow"/>
        </w:rPr>
        <w:t>[Mục lục sẽ được cập nhật sau khi hoàn thiện nội dung bằng lệnh Update Field trong Word]</w:t>
      </w:r>
    </w:p>
    <w:p w:rsidR="00000000" w:rsidDel="00000000" w:rsidP="00000000" w:rsidRDefault="00000000" w:rsidRPr="00000000" w14:paraId="00000052">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3">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4">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5">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6">
      <w:pPr>
        <w:spacing w:after="120" w:line="360" w:lineRule="auto"/>
        <w:rPr>
          <w:rFonts w:ascii="Times New Roman" w:cs="Times New Roman" w:eastAsia="Times New Roman" w:hAnsi="Times New Roman"/>
          <w:b w:val="1"/>
          <w:bCs w:val="1"/>
          <w:sz w:val="26"/>
          <w:szCs w:val="26"/>
        </w:rPr>
      </w:pPr>
      <w:r w:rsidDel="00000000" w:rsidR="00000000" w:rsidRPr="00000000">
        <w:rPr>
          <w:rFonts w:ascii="Times New Roman" w:hAnsi="Times New Roman"/>
          <w:color w:val="000000"/>
          <w:rtl w:val="0"/>
        </w:rPr>
      </w:r>
    </w:p>
    <w:p w:rsidR="00000000" w:rsidDel="00000000" w:rsidP="00000000" w:rsidRDefault="00000000" w:rsidRPr="00000000" w14:paraId="00000057">
      <w:pPr>
        <w:pStyle w:val="Title"/>
        <w:spacing w:after="120" w:line="360" w:lineRule="auto"/>
        <w:jc w:val="center"/>
        <w:rPr>
          <w:rFonts w:ascii="Times New Roman" w:cs="Times New Roman" w:eastAsia="Times New Roman" w:hAnsi="Times New Roman"/>
          <w:b w:val="1"/>
          <w:bCs w:val="1"/>
          <w:sz w:val="26"/>
          <w:szCs w:val="26"/>
        </w:rPr>
      </w:pPr>
      <w:bookmarkStart w:colFirst="0" w:colLast="0" w:name="_heading=h.rhmrn81kv5ut" w:id="12"/>
      <w:bookmarkEnd w:id="12"/>
      <w:r w:rsidDel="00000000" w:rsidR="00000000" w:rsidRPr="00000000">
        <w:rPr>
          <w:rFonts w:ascii="Times New Roman" w:hAnsi="Times New Roman"/>
          <w:color w:val="000000"/>
          <w:rtl w:val="0"/>
        </w:rPr>
      </w:r>
    </w:p>
    <w:p w:rsidR="00000000" w:rsidDel="00000000" w:rsidP="00000000" w:rsidRDefault="00000000" w:rsidRPr="00000000" w14:paraId="00000058">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9">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A">
      <w:pPr>
        <w:rPr>
          <w:rFonts w:ascii="Times New Roman" w:cs="Times New Roman" w:eastAsia="Times New Roman" w:hAnsi="Times New Roman"/>
        </w:rPr>
        <w:sectPr>
          <w:headerReference r:id="rId8" w:type="default"/>
          <w:headerReference r:id="rId9" w:type="first"/>
          <w:footerReference r:id="rId10" w:type="default"/>
          <w:footerReference r:id="rId11" w:type="first"/>
          <w:pgSz w:h="16834" w:w="11909" w:orient="portrait"/>
          <w:pgMar w:bottom="1152" w:top="1152" w:left="1224" w:right="1080" w:header="720" w:footer="720"/>
          <w:pgNumType w:start="1"/>
          <w:titlePg w:val="1"/>
        </w:sectPr>
      </w:pPr>
      <w:r w:rsidDel="00000000" w:rsidR="00000000" w:rsidRPr="00000000">
        <w:rPr>
          <w:rFonts w:ascii="Times New Roman" w:hAnsi="Times New Roman"/>
          <w:color w:val="000000"/>
          <w:rtl w:val="0"/>
        </w:rPr>
      </w:r>
    </w:p>
    <w:p w:rsidR="00000000" w:rsidDel="00000000" w:rsidP="00000000" w:rsidRDefault="00000000" w:rsidRPr="00000000" w14:paraId="0000005B">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C">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D">
      <w:pPr>
        <w:rPr>
          <w:rFonts w:ascii="Times New Roman" w:cs="Times New Roman" w:eastAsia="Times New Roman" w:hAnsi="Times New Roman"/>
        </w:rPr>
      </w:pPr>
      <w:r w:rsidDel="00000000" w:rsidR="00000000" w:rsidRPr="00000000">
        <w:rPr>
          <w:rFonts w:ascii="Times New Roman" w:hAnsi="Times New Roman"/>
          <w:color w:val="000000"/>
          <w:rtl w:val="0"/>
        </w:rPr>
      </w:r>
    </w:p>
    <w:p w:rsidR="00000000" w:rsidDel="00000000" w:rsidP="00000000" w:rsidRDefault="00000000" w:rsidRPr="00000000" w14:paraId="0000005E">
      <w:pPr>
        <w:rPr>
          <w:rFonts w:ascii="Times New Roman" w:cs="Times New Roman" w:eastAsia="Times New Roman" w:hAnsi="Times New Roman"/>
          <w:b w:val="1"/>
          <w:bCs w:val="1"/>
        </w:rPr>
      </w:pPr>
      <w:r w:rsidDel="00000000" w:rsidR="00000000" w:rsidRPr="00000000">
        <w:rPr>
          <w:rFonts w:ascii="Times New Roman" w:hAnsi="Times New Roman"/>
          <w:color w:val="000000"/>
          <w:rtl w:val="0"/>
        </w:rPr>
      </w:r>
    </w:p>
    <w:p>
      <w:pPr>
        <w:pStyle w:val="Heading1"/>
        <w:keepNext/>
        <w:pageBreakBefore w:val="0"/>
        <w:jc w:val="left"/>
      </w:pPr>
      <w:r>
        <w:rPr>
          <w:rFonts w:ascii="Times New Roman" w:hAnsi="Times New Roman"/>
          <w:b/>
          <w:i w:val="0"/>
          <w:color w:val="000000"/>
          <w:sz w:val="32"/>
        </w:rPr>
        <w:t>DANH MỤC HÌNH ẢNH</w:t>
      </w:r>
    </w:p>
    <w:p>
      <w:pPr>
        <w:pStyle w:val="SkeletonPlaceholder"/>
        <w:jc w:val="left"/>
      </w:pPr>
      <w:r>
        <w:rPr>
          <w:rFonts w:ascii="Times New Roman" w:hAnsi="Times New Roman"/>
          <w:i/>
          <w:color w:val="7F7F7F"/>
          <w:sz w:val="22"/>
          <w:highlight w:val="yellow"/>
        </w:rPr>
        <w:t>[Danh mục hình ảnh sẽ được cập nhật sau khi chèn và đánh số các hình trong báo cáo]</w:t>
      </w:r>
    </w:p>
    <w:p>
      <w:pPr>
        <w:pStyle w:val="Heading1"/>
        <w:keepNext/>
        <w:pageBreakBefore w:val="0"/>
        <w:jc w:val="left"/>
      </w:pPr>
      <w:r>
        <w:rPr>
          <w:rFonts w:ascii="Times New Roman" w:hAnsi="Times New Roman"/>
          <w:b/>
          <w:i w:val="0"/>
          <w:color w:val="000000"/>
          <w:sz w:val="32"/>
        </w:rPr>
        <w:t>DANH MỤC BẢNG</w:t>
      </w:r>
    </w:p>
    <w:p>
      <w:pPr>
        <w:pStyle w:val="SkeletonPlaceholder"/>
        <w:jc w:val="left"/>
      </w:pPr>
      <w:r>
        <w:rPr>
          <w:rFonts w:ascii="Times New Roman" w:hAnsi="Times New Roman"/>
          <w:i/>
          <w:color w:val="7F7F7F"/>
          <w:sz w:val="22"/>
          <w:highlight w:val="yellow"/>
        </w:rPr>
        <w:t>[Danh mục bảng sẽ được cập nhật sau khi hoàn thiện các bảng]</w:t>
      </w:r>
    </w:p>
    <w:p>
      <w:pPr>
        <w:pStyle w:val="Heading1"/>
        <w:keepNext/>
        <w:pageBreakBefore w:val="0"/>
        <w:jc w:val="left"/>
      </w:pPr>
      <w:r>
        <w:rPr>
          <w:rFonts w:ascii="Times New Roman" w:hAnsi="Times New Roman"/>
          <w:b/>
          <w:i w:val="0"/>
          <w:color w:val="000000"/>
          <w:sz w:val="32"/>
        </w:rPr>
        <w:t>DANH MỤC TỪ VIẾT TẮT</w:t>
      </w:r>
    </w:p>
    <w:p>
      <w:pPr>
        <w:pStyle w:val="SkeletonPlaceholder"/>
      </w:pPr>
      <w:r>
        <w:rPr>
          <w:rFonts w:ascii="Times New Roman" w:hAnsi="Times New Roman"/>
          <w:i/>
          <w:color w:val="7F7F7F"/>
          <w:sz w:val="22"/>
          <w:highlight w:val="yellow"/>
        </w:rPr>
        <w:t>Bảng [số]: [Bổ sung tên bảng 1 cho nội dung DANH MỤC TỪ VIẾT TẮT]</w:t>
      </w:r>
    </w:p>
    <w:tbl>
      <w:tblPr>
        <w:tblW w:type="auto" w:w="0"/>
        <w:jc w:val="center"/>
        <w:tblLayout w:type="autofit"/>
        <w:tblLook w:firstColumn="1" w:firstRow="1" w:lastColumn="0" w:lastRow="0" w:noHBand="0" w:noVBand="1" w:val="04A0"/>
      </w:tblPr>
      <w:tblGrid>
        <w:gridCol w:w="2880"/>
        <w:gridCol w:w="2880"/>
        <w:gridCol w:w="2880"/>
      </w:tblGrid>
      <w:tr>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Từ viết tắt</w:t>
            </w:r>
          </w:p>
        </w:tc>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Tiếng Anh</w:t>
            </w:r>
          </w:p>
        </w:tc>
        <w:tc>
          <w:tcPr>
            <w:tcW w:type="dxa" w:w="2880"/>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Ý nghĩa</w:t>
            </w:r>
          </w:p>
        </w:tc>
        <w:trPr>
          <w:tblHeader/>
        </w:trPr>
      </w:tr>
    </w:tbl>
    <w:p>
      <w:pPr>
        <w:pStyle w:val="SkeletonPlaceholder"/>
      </w:pPr>
      <w:r>
        <w:rPr>
          <w:rFonts w:ascii="Times New Roman" w:hAnsi="Times New Roman"/>
          <w:i/>
          <w:color w:val="7F7F7F"/>
          <w:sz w:val="22"/>
          <w:highlight w:val="yellow"/>
        </w:rPr>
        <w:t>[HƯỚNG DẪN - XÓA TRƯỚC KHI NỘP: Nội dung tô vàng, chữ xám nghiêng và đặt trong ngoặc vuông là ghi chú skeleton hoặc dữ liệu chưa điền.]</w:t>
      </w:r>
    </w:p>
    <w:p w:rsidR="00000000" w:rsidDel="00000000" w:rsidP="00000000" w:rsidRDefault="00000000" w:rsidRPr="00000000" w14:paraId="0000005F">
      <w:pPr>
        <w:pStyle w:val="Heading1"/>
        <w:keepNext/>
        <w:pageBreakBefore/>
        <w:spacing w:after="240" w:before="480" w:line="360" w:lineRule="auto"/>
        <w:jc w:val="left"/>
        <w:rPr/>
      </w:pPr>
      <w:bookmarkStart w:colFirst="0" w:colLast="0" w:name="_heading=h.5ip9z81ma7h5" w:id="13"/>
      <w:bookmarkEnd w:id="13"/>
      <w:r w:rsidDel="00000000" w:rsidR="00000000" w:rsidRPr="00000000">
        <w:rPr>
          <w:rFonts w:ascii="Times New Roman" w:cs="Times New Roman" w:eastAsia="Times New Roman" w:hAnsi="Times New Roman"/>
          <w:b/>
          <w:bCs w:val="1"/>
          <w:i w:val="0"/>
          <w:color w:val="000000"/>
          <w:sz w:val="32"/>
          <w:szCs w:val="32"/>
          <w:rtl w:val="0"/>
        </w:rPr>
        <w:t xml:space="preserve">CHƯƠNG 1. GIỚI THIỆU CÔNG TY VIETTEL POST</w:t>
      </w:r>
      <w:r w:rsidDel="00000000" w:rsidR="00000000" w:rsidRPr="00000000">
        <w:rPr>
          <w:rFonts w:ascii="Times New Roman" w:hAnsi="Times New Roman"/>
          <w:b/>
          <w:i w:val="0"/>
          <w:color w:val="000000"/>
          <w:sz w:val="32"/>
          <w:rtl w:val="0"/>
        </w:rPr>
      </w:r>
    </w:p>
    <w:p w:rsidR="00000000" w:rsidDel="00000000" w:rsidP="00000000" w:rsidRDefault="00000000" w:rsidRPr="00000000" w14:paraId="00000060">
      <w:pPr>
        <w:pStyle w:val="Heading2"/>
        <w:keepNext/>
        <w:pageBreakBefore w:val="0"/>
        <w:spacing w:after="140" w:before="280" w:line="360" w:lineRule="auto"/>
        <w:jc w:val="left"/>
        <w:rPr/>
      </w:pPr>
      <w:bookmarkStart w:colFirst="0" w:colLast="0" w:name="_heading=h.vmnuwuyvtqor" w:id="14"/>
      <w:bookmarkEnd w:id="14"/>
      <w:r w:rsidDel="00000000" w:rsidR="00000000" w:rsidRPr="00000000">
        <w:rPr>
          <w:rFonts w:ascii="Times New Roman" w:cs="Times New Roman" w:eastAsia="Times New Roman" w:hAnsi="Times New Roman"/>
          <w:b/>
          <w:bCs w:val="1"/>
          <w:i w:val="0"/>
          <w:color w:val="000000"/>
          <w:sz w:val="28"/>
          <w:szCs w:val="27"/>
          <w:rtl w:val="0"/>
        </w:rPr>
        <w:t xml:space="preserve">1.1. Tổng quan về Viettel Post</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61">
      <w:pPr>
        <w:pStyle w:val="Heading3"/>
        <w:keepNext/>
        <w:pageBreakBefore w:val="0"/>
        <w:spacing w:after="100" w:before="220" w:line="360" w:lineRule="auto"/>
        <w:jc w:val="left"/>
        <w:rPr/>
      </w:pPr>
      <w:bookmarkStart w:colFirst="0" w:colLast="0" w:name="_heading=h.e2p8d7p44ucx" w:id="15"/>
      <w:bookmarkEnd w:id="15"/>
      <w:r w:rsidDel="00000000" w:rsidR="00000000" w:rsidRPr="00000000">
        <w:rPr>
          <w:rFonts w:ascii="Times New Roman" w:cs="Times New Roman" w:eastAsia="Times New Roman" w:hAnsi="Times New Roman"/>
          <w:b/>
          <w:bCs w:val="1"/>
          <w:i w:val="0"/>
          <w:color w:val="000000"/>
          <w:sz w:val="25"/>
          <w:szCs w:val="26"/>
          <w:rtl w:val="0"/>
        </w:rPr>
        <w:t xml:space="preserve">1.1.1. Lịch sử hình thành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Tổng Công ty Cổ phần Bưu chính Viettel (Viettel Post) tiền thân là Bộ phận Phát hành Báo chí thuộc Tập đoàn Công nghiệp – Viễn thông Quân đội (Viettel), được thành lập ngày 01/07/1997. Trải qua gần 30 năm phát triển, Viettel Post hiện là một doanh nghiệp thành viên của Viettel, do ông Nguyễn Việt Dũng giữ vị trí Chủ tịch Hội đồng quản trị.</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Từ một bộ phận phát hành báo chí nội bộ, Viettel Post đã từng bước mở rộng hoạt động sang lĩnh vực chuyển phát nhanh, logistics, fulfillment và hỗ trợ thương mại điện tử, khẳng định vị thế là một trong những doanh nghiệp chuyển phát và logistics hàng đầu tại Việt Nam, đồng thời đẩy mạnh ứng dụng trí tuệ nhân tạo (AI) và các nền tảng số vào hoạt động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4">
      <w:pPr>
        <w:pStyle w:val="Heading3"/>
        <w:keepNext/>
        <w:pageBreakBefore w:val="0"/>
        <w:spacing w:after="100" w:before="220" w:line="360" w:lineRule="auto"/>
        <w:jc w:val="left"/>
        <w:rPr/>
      </w:pPr>
      <w:bookmarkStart w:colFirst="0" w:colLast="0" w:name="_heading=h.8v6k7owr948d" w:id="16"/>
      <w:bookmarkEnd w:id="16"/>
      <w:r w:rsidDel="00000000" w:rsidR="00000000" w:rsidRPr="00000000">
        <w:rPr>
          <w:rFonts w:ascii="Times New Roman" w:cs="Times New Roman" w:eastAsia="Times New Roman" w:hAnsi="Times New Roman"/>
          <w:b/>
          <w:bCs w:val="1"/>
          <w:i w:val="0"/>
          <w:color w:val="000000"/>
          <w:sz w:val="25"/>
          <w:szCs w:val="26"/>
          <w:rtl w:val="0"/>
        </w:rPr>
        <w:t xml:space="preserve">1.1.2. Quy mô và lĩnh vực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5">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trong các lĩnh vực chính: chuyển phát trong nước và quốc tế, logistics, fulfillment (lưu kho, đóng gói, xử lý đơn) và hỗ trợ thương mại điện tử. Mạng lưới hoạt động của công ty phủ sóng 100% tỉnh, thành phố trên cả nước, mở rộng đến tận xã và các khu vực hải đảo.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6">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Khách hàng có thể truy cập website viettelpost.com.vn để sử dụng hệ sinh thái dịch vụ logistics của Viettel Post,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7">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Bốn dịch vụ vận tải &amp; kho: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kho Fulfillment và vận tải hàng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8">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Dịch vụ Forwarding (giao nhận vận tải) và Hải quan: </w:t>
      </w:r>
      <w:r w:rsidDel="00000000" w:rsidR="00000000" w:rsidRPr="00000000">
        <w:rPr>
          <w:rFonts w:ascii="Times New Roman" w:cs="Times New Roman" w:eastAsia="Times New Roman" w:hAnsi="Times New Roman"/>
          <w:b w:val="0"/>
          <w:i w:val="0"/>
          <w:color w:val="000000"/>
          <w:sz w:val="24"/>
          <w:szCs w:val="26"/>
          <w:rtl w:val="0"/>
        </w:rPr>
        <w:t xml:space="preserve">hỗ trợ song song, phối hợp trong xử lý đơn hàng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9">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2997510"/>
            <wp:effectExtent b="0" l="0" r="0" t="0"/>
            <wp:docPr id="320" name="image17.png" descr="Image: image17.png"/>
            <a:graphic>
              <a:graphicData uri="http://schemas.openxmlformats.org/drawingml/2006/picture">
                <pic:pic>
                  <pic:nvPicPr>
                    <pic:cNvPr id="0" name="image17.png"/>
                    <pic:cNvPicPr preferRelativeResize="0"/>
                  </pic:nvPicPr>
                  <pic:blipFill>
                    <a:blip r:embed="rId12"/>
                    <a:srcRect b="0" l="0" r="0" t="0"/>
                    <a:stretch>
                      <a:fillRect/>
                    </a:stretch>
                  </pic:blipFill>
                  <pic:spPr>
                    <a:xfrm>
                      <a:off x="0" y="0"/>
                      <a:ext cx="5486400" cy="299751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6A">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1.1 Sơ đồ hệ sinh thái dịch vụ logistics Viettel Post</w:t>
      </w:r>
      <w:r w:rsidDel="00000000" w:rsidR="00000000" w:rsidRPr="00000000">
        <w:rPr>
          <w:rFonts w:ascii="Times New Roman" w:hAnsi="Times New Roman"/>
          <w:i/>
          <w:color w:val="000000"/>
          <w:sz w:val="21"/>
          <w:rtl w:val="0"/>
        </w:rPr>
      </w:r>
    </w:p>
    <w:p w:rsidR="00000000" w:rsidDel="00000000" w:rsidP="00000000" w:rsidRDefault="00000000" w:rsidRPr="00000000" w14:paraId="0000006B">
      <w:pPr>
        <w:pStyle w:val="Heading3"/>
        <w:keepNext/>
        <w:pageBreakBefore w:val="0"/>
        <w:spacing w:after="100" w:before="220" w:line="360" w:lineRule="auto"/>
        <w:jc w:val="left"/>
        <w:rPr/>
      </w:pPr>
      <w:bookmarkStart w:colFirst="0" w:colLast="0" w:name="_heading=h.gykaumbxeisp" w:id="17"/>
      <w:bookmarkEnd w:id="17"/>
      <w:r w:rsidDel="00000000" w:rsidR="00000000" w:rsidRPr="00000000">
        <w:rPr>
          <w:rFonts w:ascii="Times New Roman" w:cs="Times New Roman" w:eastAsia="Times New Roman" w:hAnsi="Times New Roman"/>
          <w:b/>
          <w:bCs w:val="1"/>
          <w:i w:val="0"/>
          <w:color w:val="000000"/>
          <w:sz w:val="25"/>
          <w:szCs w:val="26"/>
          <w:rtl w:val="0"/>
        </w:rPr>
        <w:t xml:space="preserve">1.1.3. Thành tựu nổi bật</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6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Mạng lưới 63 chi nhánh trên toàn quốc, hơn 1.300 bưu cục và khoảng 6.000 đại lý thu gom.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Hơn 4.000 tuyến phát đến tận hộ gia đình, phủ sóng dịch vụ 100%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Doanh thu hợp nhất 6 tháng đầu năm 2025 đạt 10.066 tỷ đồng.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6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Là một trong những doanh nghiệp chuyển phát và logistics hàng đầu Việt Nam, tích cực đẩy mạnh ứng dụng AI và chuyển đổi số trong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Viettel Post và các tài liệu công bố, tổng hợp đến năm 2025.</w:t>
      </w:r>
      <w:r w:rsidDel="00000000" w:rsidR="00000000" w:rsidRPr="00000000">
        <w:rPr>
          <w:rFonts w:ascii="Times New Roman" w:hAnsi="Times New Roman"/>
          <w:i/>
          <w:color w:val="000000"/>
          <w:sz w:val="19"/>
          <w:rtl w:val="0"/>
        </w:rPr>
      </w:r>
    </w:p>
    <w:p w:rsidR="00000000" w:rsidDel="00000000" w:rsidP="00000000" w:rsidRDefault="00000000" w:rsidRPr="00000000" w14:paraId="00000071">
      <w:pPr>
        <w:pStyle w:val="Heading2"/>
        <w:keepNext/>
        <w:pageBreakBefore w:val="0"/>
        <w:spacing w:after="140" w:before="280" w:line="360" w:lineRule="auto"/>
        <w:jc w:val="left"/>
        <w:rPr/>
      </w:pPr>
      <w:bookmarkStart w:colFirst="0" w:colLast="0" w:name="_heading=h.l6yp09jm84tu" w:id="18"/>
      <w:bookmarkEnd w:id="18"/>
      <w:r w:rsidDel="00000000" w:rsidR="00000000" w:rsidRPr="00000000">
        <w:rPr>
          <w:rFonts w:ascii="Times New Roman" w:cs="Times New Roman" w:eastAsia="Times New Roman" w:hAnsi="Times New Roman"/>
          <w:b/>
          <w:bCs w:val="1"/>
          <w:i w:val="0"/>
          <w:color w:val="000000"/>
          <w:sz w:val="28"/>
          <w:szCs w:val="27"/>
          <w:rtl w:val="0"/>
        </w:rPr>
        <w:t xml:space="preserve">1.2. Cơ cấu tổ chức và hoạt động kinh doanh</w:t>
      </w:r>
      <w:r w:rsidDel="00000000" w:rsidR="00000000" w:rsidRPr="00000000">
        <w:rPr>
          <w:rFonts w:ascii="Times New Roman" w:hAnsi="Times New Roman"/>
          <w:b/>
          <w:i w:val="0"/>
          <w:color w:val="000000"/>
          <w:sz w:val="28"/>
          <w:rtl w:val="0"/>
        </w:rPr>
      </w:r>
    </w:p>
    <w:p w:rsidR="00000000" w:rsidDel="00000000" w:rsidP="00000000" w:rsidRDefault="00000000" w:rsidRPr="00000000" w14:paraId="00000072">
      <w:pPr>
        <w:pStyle w:val="Heading3"/>
        <w:keepNext/>
        <w:pageBreakBefore w:val="0"/>
        <w:spacing w:after="100" w:before="220" w:line="360" w:lineRule="auto"/>
        <w:jc w:val="left"/>
        <w:rPr/>
      </w:pPr>
      <w:bookmarkStart w:colFirst="0" w:colLast="0" w:name="_heading=h.t652btxd204c" w:id="19"/>
      <w:bookmarkEnd w:id="19"/>
      <w:r w:rsidDel="00000000" w:rsidR="00000000" w:rsidRPr="00000000">
        <w:rPr>
          <w:rFonts w:ascii="Times New Roman" w:cs="Times New Roman" w:eastAsia="Times New Roman" w:hAnsi="Times New Roman"/>
          <w:b/>
          <w:bCs w:val="1"/>
          <w:i w:val="0"/>
          <w:color w:val="000000"/>
          <w:sz w:val="25"/>
          <w:szCs w:val="26"/>
          <w:rtl w:val="0"/>
        </w:rPr>
        <w:t xml:space="preserve">1.2.1. Cơ cấu tổ chức</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3">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được tổ chức theo mô hình nhiều cấp quản lý, bao gồm Đại hội đồng cổ đông (ĐHĐCĐ), Hội đồng quản trị/Ban kiểm soát (HĐQT/BKS), Ban Tổng Giám đốc và các khối vận hành.</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4">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tham mưu: </w:t>
      </w:r>
      <w:r w:rsidDel="00000000" w:rsidR="00000000" w:rsidRPr="00000000">
        <w:rPr>
          <w:rFonts w:ascii="Times New Roman" w:cs="Times New Roman" w:eastAsia="Times New Roman" w:hAnsi="Times New Roman"/>
          <w:b w:val="0"/>
          <w:i w:val="0"/>
          <w:color w:val="000000"/>
          <w:sz w:val="24"/>
          <w:szCs w:val="26"/>
          <w:rtl w:val="0"/>
        </w:rPr>
        <w:t xml:space="preserve">gồm 8 phòng/ban tham mưu cho Ban Tổng Giám đốc, đóng vai trò tư vấn.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5">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kinh doanh: </w:t>
      </w:r>
      <w:r w:rsidDel="00000000" w:rsidR="00000000" w:rsidRPr="00000000">
        <w:rPr>
          <w:rFonts w:ascii="Times New Roman" w:cs="Times New Roman" w:eastAsia="Times New Roman" w:hAnsi="Times New Roman"/>
          <w:b w:val="0"/>
          <w:i w:val="0"/>
          <w:color w:val="000000"/>
          <w:sz w:val="24"/>
          <w:szCs w:val="26"/>
          <w:rtl w:val="0"/>
        </w:rPr>
        <w:t xml:space="preserve">gồm 3 đơn vị kinh doanh chiến lược (SBU) vận hành theo lĩnh vực – chuyển phát, logistics và thương mại số.</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6">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Khối triển khai: </w:t>
      </w:r>
      <w:r w:rsidDel="00000000" w:rsidR="00000000" w:rsidRPr="00000000">
        <w:rPr>
          <w:rFonts w:ascii="Times New Roman" w:cs="Times New Roman" w:eastAsia="Times New Roman" w:hAnsi="Times New Roman"/>
          <w:b w:val="0"/>
          <w:i w:val="0"/>
          <w:color w:val="000000"/>
          <w:sz w:val="24"/>
          <w:szCs w:val="26"/>
          <w:rtl w:val="0"/>
        </w:rPr>
        <w:t xml:space="preserve">gồm 63 chi nhánh và 5 công ty thành viên, trực tiếp phục vụ khách hàng trên toàn quốc.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7">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486400" cy="3927763"/>
            <wp:effectExtent b="0" l="0" r="0" t="0"/>
            <wp:docPr id="319" name="image11.png" descr="Image: image11.png"/>
            <a:graphic>
              <a:graphicData uri="http://schemas.openxmlformats.org/drawingml/2006/picture">
                <pic:pic>
                  <pic:nvPicPr>
                    <pic:cNvPr id="0" name="image11.png"/>
                    <pic:cNvPicPr preferRelativeResize="0"/>
                  </pic:nvPicPr>
                  <pic:blipFill>
                    <a:blip r:embed="rId13"/>
                    <a:srcRect b="0" l="0" r="0" t="0"/>
                    <a:stretch>
                      <a:fillRect/>
                    </a:stretch>
                  </pic:blipFill>
                  <pic:spPr>
                    <a:xfrm>
                      <a:off x="0" y="0"/>
                      <a:ext cx="5486400" cy="392776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78">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1.2 Sơ đồ cơ cấu tổ chức</w:t>
      </w:r>
      <w:r w:rsidDel="00000000" w:rsidR="00000000" w:rsidRPr="00000000">
        <w:rPr>
          <w:rFonts w:ascii="Times New Roman" w:hAnsi="Times New Roman"/>
          <w:i/>
          <w:color w:val="000000"/>
          <w:sz w:val="21"/>
          <w:rtl w:val="0"/>
        </w:rPr>
      </w:r>
    </w:p>
    <w:p w:rsidR="00000000" w:rsidDel="00000000" w:rsidP="00000000" w:rsidRDefault="00000000" w:rsidRPr="00000000" w14:paraId="00000079">
      <w:pPr>
        <w:pStyle w:val="Heading3"/>
        <w:keepNext/>
        <w:pageBreakBefore w:val="0"/>
        <w:spacing w:after="100" w:before="220" w:line="360" w:lineRule="auto"/>
        <w:jc w:val="left"/>
        <w:rPr/>
      </w:pPr>
      <w:bookmarkStart w:colFirst="0" w:colLast="0" w:name="_heading=h.kqwts6z2y730" w:id="20"/>
      <w:bookmarkEnd w:id="20"/>
      <w:r w:rsidDel="00000000" w:rsidR="00000000" w:rsidRPr="00000000">
        <w:rPr>
          <w:rFonts w:ascii="Times New Roman" w:cs="Times New Roman" w:eastAsia="Times New Roman" w:hAnsi="Times New Roman"/>
          <w:b/>
          <w:bCs w:val="1"/>
          <w:i w:val="0"/>
          <w:color w:val="000000"/>
          <w:sz w:val="25"/>
          <w:szCs w:val="26"/>
          <w:rtl w:val="0"/>
        </w:rPr>
        <w:t xml:space="preserve">1.2.2. Hoạt động kinh doanh</w:t>
      </w:r>
      <w:r w:rsidDel="00000000" w:rsidR="00000000" w:rsidRPr="00000000">
        <w:rPr>
          <w:rFonts w:ascii="Times New Roman" w:hAnsi="Times New Roman"/>
          <w:b/>
          <w:i w:val="0"/>
          <w:color w:val="000000"/>
          <w:sz w:val="25"/>
          <w:rtl w:val="0"/>
        </w:rPr>
      </w:r>
    </w:p>
    <w:p w:rsidR="00000000" w:rsidDel="00000000" w:rsidP="00000000" w:rsidRDefault="00000000" w:rsidRPr="00000000" w14:paraId="0000007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Viettel Post hoạt động đa dạng trong lĩnh vực chuyển phát và logistics với hệ sinh thái dịch vụ tương đối hoàn chỉnh, bao gồm:</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B">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Chuyển phát nhanh: </w:t>
      </w:r>
      <w:r w:rsidDel="00000000" w:rsidR="00000000" w:rsidRPr="00000000">
        <w:rPr>
          <w:rFonts w:ascii="Times New Roman" w:cs="Times New Roman" w:eastAsia="Times New Roman" w:hAnsi="Times New Roman"/>
          <w:b w:val="0"/>
          <w:i w:val="0"/>
          <w:color w:val="000000"/>
          <w:sz w:val="24"/>
          <w:szCs w:val="26"/>
          <w:rtl w:val="0"/>
        </w:rPr>
        <w:t xml:space="preserve">dịch vụ vận chuyển tốc độ cao trong nước và quốc tế.</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C">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Logistics &amp; vận tải: </w:t>
      </w:r>
      <w:r w:rsidDel="00000000" w:rsidR="00000000" w:rsidRPr="00000000">
        <w:rPr>
          <w:rFonts w:ascii="Times New Roman" w:cs="Times New Roman" w:eastAsia="Times New Roman" w:hAnsi="Times New Roman"/>
          <w:b w:val="0"/>
          <w:i w:val="0"/>
          <w:color w:val="000000"/>
          <w:sz w:val="24"/>
          <w:szCs w:val="26"/>
          <w:rtl w:val="0"/>
        </w:rPr>
        <w:t xml:space="preserve">vận tải nguyên chuyến, vận tải theo kiện, vận tải hàng gom và kho Fulfillment.</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D">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Forwarding &amp; Hải quan: </w:t>
      </w:r>
      <w:r w:rsidDel="00000000" w:rsidR="00000000" w:rsidRPr="00000000">
        <w:rPr>
          <w:rFonts w:ascii="Times New Roman" w:cs="Times New Roman" w:eastAsia="Times New Roman" w:hAnsi="Times New Roman"/>
          <w:b w:val="0"/>
          <w:i w:val="0"/>
          <w:color w:val="000000"/>
          <w:sz w:val="24"/>
          <w:szCs w:val="26"/>
          <w:rtl w:val="0"/>
        </w:rPr>
        <w:t xml:space="preserve">hỗ trợ giao nhận vận tải và thủ tục thông quan cho hàng hóa xuất nhập khẩu.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E">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Hỗ trợ thương mại điện tử: </w:t>
      </w:r>
      <w:r w:rsidDel="00000000" w:rsidR="00000000" w:rsidRPr="00000000">
        <w:rPr>
          <w:rFonts w:ascii="Times New Roman" w:cs="Times New Roman" w:eastAsia="Times New Roman" w:hAnsi="Times New Roman"/>
          <w:b w:val="0"/>
          <w:i w:val="0"/>
          <w:color w:val="000000"/>
          <w:sz w:val="24"/>
          <w:szCs w:val="26"/>
          <w:rtl w:val="0"/>
        </w:rPr>
        <w:t xml:space="preserve">cung cấp giải pháp fulfillment, đóng gói và xử lý đơn cho các nhà bán hàng online.</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7F">
      <w:pPr>
        <w:spacing w:after="120" w:before="0" w:line="276" w:lineRule="auto"/>
        <w:ind w:left="576"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  </w:t>
      </w:r>
      <w:r w:rsidDel="00000000" w:rsidR="00000000" w:rsidRPr="00000000">
        <w:rPr>
          <w:rFonts w:ascii="Times New Roman" w:cs="Times New Roman" w:eastAsia="Times New Roman" w:hAnsi="Times New Roman"/>
          <w:b w:val="0"/>
          <w:bCs w:val="1"/>
          <w:i w:val="0"/>
          <w:color w:val="000000"/>
          <w:sz w:val="24"/>
          <w:szCs w:val="26"/>
          <w:rtl w:val="0"/>
        </w:rPr>
        <w:t xml:space="preserve">Thu hộ COD (Cash On Delivery): </w:t>
      </w:r>
      <w:r w:rsidDel="00000000" w:rsidR="00000000" w:rsidRPr="00000000">
        <w:rPr>
          <w:rFonts w:ascii="Times New Roman" w:cs="Times New Roman" w:eastAsia="Times New Roman" w:hAnsi="Times New Roman"/>
          <w:b w:val="0"/>
          <w:i w:val="0"/>
          <w:color w:val="000000"/>
          <w:sz w:val="24"/>
          <w:szCs w:val="26"/>
          <w:rtl w:val="0"/>
        </w:rPr>
        <w:t xml:space="preserve">thu tiền hộ người gửi khi giao hàng thành công, đối soát và chuyển trả định kỳ.</w:t>
      </w:r>
      <w:r w:rsidDel="00000000" w:rsidR="00000000" w:rsidRPr="00000000">
        <w:rPr>
          <w:rFonts w:ascii="Times New Roman" w:hAnsi="Times New Roman"/>
          <w:b w:val="0"/>
          <w:i w:val="0"/>
          <w:color w:val="000000"/>
          <w:sz w:val="24"/>
          <w:rtl w:val="0"/>
        </w:rPr>
      </w:r>
    </w:p>
    <w:p>
      <w:pPr>
        <w:pStyle w:val="Heading2"/>
        <w:keepNext/>
      </w:pPr>
      <w:r>
        <w:rPr>
          <w:rFonts w:ascii="Times New Roman" w:hAnsi="Times New Roman"/>
          <w:color w:val="000000"/>
        </w:rPr>
        <w:t>1.3. Bối cảnh nghiên cứu</w:t>
      </w:r>
    </w:p>
    <w:p>
      <w:pPr>
        <w:pStyle w:val="SkeletonPlaceholder"/>
      </w:pPr>
      <w:r>
        <w:rPr>
          <w:rFonts w:ascii="Times New Roman" w:hAnsi="Times New Roman"/>
          <w:i/>
          <w:color w:val="7F7F7F"/>
          <w:sz w:val="22"/>
          <w:highlight w:val="yellow"/>
        </w:rPr>
        <w:t>[Nêu đặc điểm chuỗi logistics nhiều công đoạn, sự phối hợp giữa con người, hệ thống và chứng từ, cùng lý do cần nghiên cứu quy trình.]</w:t>
      </w:r>
    </w:p>
    <w:p>
      <w:pPr>
        <w:pStyle w:val="Heading2"/>
        <w:keepNext/>
      </w:pPr>
      <w:r>
        <w:rPr>
          <w:rFonts w:ascii="Times New Roman" w:hAnsi="Times New Roman"/>
          <w:color w:val="000000"/>
        </w:rPr>
        <w:t>1.4. Mục tiêu nghiên cứu</w:t>
      </w:r>
    </w:p>
    <w:p>
      <w:pPr>
        <w:pStyle w:val="SkeletonPlaceholder"/>
      </w:pPr>
      <w:r>
        <w:rPr>
          <w:rFonts w:ascii="Times New Roman" w:hAnsi="Times New Roman"/>
          <w:i/>
          <w:color w:val="7F7F7F"/>
          <w:sz w:val="22"/>
          <w:highlight w:val="yellow"/>
        </w:rPr>
        <w:t>[Nêu mục tiêu mô tả, mô hình hóa, phân tích và đề xuất cải tiến quy trình.]</w:t>
      </w:r>
    </w:p>
    <w:p>
      <w:pPr>
        <w:pStyle w:val="Heading2"/>
        <w:keepNext/>
      </w:pPr>
      <w:r>
        <w:rPr>
          <w:rFonts w:ascii="Times New Roman" w:hAnsi="Times New Roman"/>
          <w:color w:val="000000"/>
        </w:rPr>
        <w:t>1.5. Phạm vi nghiên cứu</w:t>
      </w:r>
    </w:p>
    <w:p>
      <w:pPr>
        <w:pStyle w:val="SkeletonPlaceholder"/>
      </w:pPr>
      <w:r>
        <w:rPr>
          <w:rFonts w:ascii="Times New Roman" w:hAnsi="Times New Roman"/>
          <w:i/>
          <w:color w:val="7F7F7F"/>
          <w:sz w:val="22"/>
          <w:highlight w:val="yellow"/>
        </w:rPr>
        <w:t>[Nêu phạm vi doanh nghiệp, lĩnh vực, quy trình, dữ liệu và giới hạn nghiên cứu.]</w:t>
      </w:r>
    </w:p>
    <w:p w:rsidR="00000000" w:rsidDel="00000000" w:rsidP="00000000" w:rsidRDefault="00000000" w:rsidRPr="00000000" w14:paraId="00000080">
      <w:pPr>
        <w:pStyle w:val="Heading1"/>
        <w:keepNext/>
        <w:pageBreakBefore/>
        <w:spacing w:after="240" w:before="480" w:line="360" w:lineRule="auto"/>
        <w:jc w:val="left"/>
        <w:rPr/>
      </w:pPr>
      <w:bookmarkStart w:colFirst="0" w:colLast="0" w:name="_heading=h.c08p5998bw2m" w:id="21"/>
      <w:bookmarkEnd w:id="21"/>
      <w:r w:rsidDel="00000000" w:rsidR="00000000" w:rsidRPr="00000000">
        <w:rPr>
          <w:rFonts w:ascii="Times New Roman" w:cs="Times New Roman" w:eastAsia="Times New Roman" w:hAnsi="Times New Roman"/>
          <w:b/>
          <w:bCs w:val="1"/>
          <w:i w:val="0"/>
          <w:color w:val="000000"/>
          <w:sz w:val="32"/>
          <w:szCs w:val="32"/>
          <w:rtl w:val="0"/>
        </w:rPr>
        <w:t xml:space="preserve">CHƯƠNG 2. HỆ THỐNG QUY TRÌNH NGHIỆP VỤ VIETTEL POST</w:t>
      </w:r>
      <w:r w:rsidDel="00000000" w:rsidR="00000000" w:rsidRPr="00000000">
        <w:rPr>
          <w:rFonts w:ascii="Times New Roman" w:hAnsi="Times New Roman"/>
          <w:b/>
          <w:i w:val="0"/>
          <w:color w:val="000000"/>
          <w:sz w:val="32"/>
          <w:rtl w:val="0"/>
        </w:rPr>
      </w:r>
    </w:p>
    <w:p>
      <w:pPr>
        <w:pStyle w:val="Heading2"/>
        <w:keepNext/>
      </w:pPr>
      <w:r>
        <w:rPr>
          <w:rFonts w:ascii="Times New Roman" w:hAnsi="Times New Roman"/>
          <w:color w:val="000000"/>
        </w:rPr>
        <w:t>2.1. Kiến trúc quy trình nghiệp vụ Viettel Post</w:t>
      </w:r>
    </w:p>
    <w:p>
      <w:pPr>
        <w:pStyle w:val="Heading3"/>
        <w:keepNext/>
      </w:pPr>
      <w:r>
        <w:rPr>
          <w:rFonts w:ascii="Times New Roman" w:hAnsi="Times New Roman"/>
          <w:color w:val="000000"/>
        </w:rPr>
        <w:t>2.1.1. Nguyên tắc phân loại quy trình</w:t>
      </w:r>
    </w:p>
    <w:p>
      <w:pPr>
        <w:pStyle w:val="SkeletonPlaceholder"/>
      </w:pPr>
      <w:r>
        <w:rPr>
          <w:rFonts w:ascii="Times New Roman" w:hAnsi="Times New Roman"/>
          <w:i/>
          <w:color w:val="7F7F7F"/>
          <w:sz w:val="22"/>
          <w:highlight w:val="yellow"/>
        </w:rPr>
        <w:t>[Giải thích ngắn vai trò của quy trình quản lý, cốt lõi và hỗ trợ.]</w:t>
      </w:r>
    </w:p>
    <w:p>
      <w:pPr>
        <w:pStyle w:val="Heading3"/>
        <w:keepNext/>
      </w:pPr>
      <w:r>
        <w:rPr>
          <w:rFonts w:ascii="Times New Roman" w:hAnsi="Times New Roman"/>
          <w:color w:val="000000"/>
        </w:rPr>
        <w:t>2.1.2. Sơ đồ kiến trúc tổng thể</w:t>
      </w:r>
    </w:p>
    <w:p>
      <w:pPr>
        <w:pStyle w:val="SkeletonPlaceholder"/>
      </w:pPr>
      <w:r>
        <w:rPr>
          <w:rFonts w:ascii="Times New Roman" w:hAnsi="Times New Roman"/>
          <w:i/>
          <w:color w:val="7F7F7F"/>
          <w:sz w:val="22"/>
          <w:highlight w:val="yellow"/>
        </w:rPr>
        <w:t>[Chèn một sơ đồ duy nhất thể hiện kiến trúc toàn hệ thống, không liệt kê lại chi tiết bước của từng process.]</w:t>
      </w:r>
    </w:p>
    <w:p w:rsidR="00000000" w:rsidDel="00000000" w:rsidP="00000000" w:rsidRDefault="00000000" w:rsidRPr="00000000" w14:paraId="00000086">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669280" cy="3188970"/>
            <wp:effectExtent b="0" l="0" r="0" t="0"/>
            <wp:docPr id="322" name="image19.png" descr="Image: image19.png"/>
            <a:graphic>
              <a:graphicData uri="http://schemas.openxmlformats.org/drawingml/2006/picture">
                <pic:pic>
                  <pic:nvPicPr>
                    <pic:cNvPr id="0" name="image19.png"/>
                    <pic:cNvPicPr preferRelativeResize="0"/>
                  </pic:nvPicPr>
                  <pic:blipFill>
                    <a:blip r:embed="rId14"/>
                    <a:srcRect b="0" l="0" r="0" t="0"/>
                    <a:stretch>
                      <a:fillRect/>
                    </a:stretch>
                  </pic:blipFill>
                  <pic:spPr>
                    <a:xfrm>
                      <a:off x="0" y="0"/>
                      <a:ext cx="5669280" cy="3188970"/>
                    </a:xfrm>
                    <a:prstGeom prst="rect"/>
                    <a:ln/>
                  </pic:spPr>
                </pic:pic>
              </a:graphicData>
            </a:graphic>
          </wp:inline>
        </w:drawing>
      </w:r>
      <w:r w:rsidDel="00000000" w:rsidR="00000000" w:rsidRPr="00000000">
        <w:rPr>
          <w:rFonts w:ascii="Times New Roman" w:hAnsi="Times New Roman"/>
          <w:color w:val="000000"/>
          <w:rtl w:val="0"/>
        </w:rPr>
      </w:r>
    </w:p>
    <w:p>
      <w:pPr>
        <w:pStyle w:val="Caption"/>
      </w:pPr>
      <w:r>
        <w:rPr>
          <w:rFonts w:ascii="Times New Roman" w:hAnsi="Times New Roman"/>
          <w:color w:val="000000"/>
        </w:rPr>
        <w:t>Hình 2.1. Kiến trúc quy trình nghiệp vụ Viettel Post</w:t>
      </w:r>
    </w:p>
    <w:p>
      <w:pPr>
        <w:pStyle w:val="SkeletonPlaceholder"/>
      </w:pPr>
      <w:r>
        <w:rPr>
          <w:rFonts w:ascii="Times New Roman" w:hAnsi="Times New Roman"/>
          <w:i/>
          <w:color w:val="7F7F7F"/>
          <w:sz w:val="22"/>
          <w:highlight w:val="yellow"/>
        </w:rPr>
        <w:t>Nguồn: [Bổ sung nguồn sau khi tổng hợp hồ sơ và presentation]</w:t>
      </w:r>
    </w:p>
    <w:p>
      <w:pPr>
        <w:pStyle w:val="Heading3"/>
        <w:keepNext/>
      </w:pPr>
      <w:r>
        <w:rPr>
          <w:rFonts w:ascii="Times New Roman" w:hAnsi="Times New Roman"/>
          <w:color w:val="000000"/>
        </w:rPr>
        <w:t>2.1.3. Mối liên hệ giữa các nhóm quy trình</w:t>
      </w:r>
    </w:p>
    <w:p>
      <w:pPr>
        <w:pStyle w:val="SkeletonPlaceholder"/>
      </w:pPr>
      <w:r>
        <w:rPr>
          <w:rFonts w:ascii="Times New Roman" w:hAnsi="Times New Roman"/>
          <w:i/>
          <w:color w:val="7F7F7F"/>
          <w:sz w:val="22"/>
          <w:highlight w:val="yellow"/>
        </w:rPr>
        <w:t>[Trình bày cách các quy trình quản lý định hướng, các quy trình cốt lõi tạo ra dịch vụ và các quy trình hỗ trợ cung cấp nguồn lực; không mô tả quan hệ tuần tự giữa từng quy trình tại đây.]</w:t>
      </w:r>
    </w:p>
    <w:p>
      <w:pPr>
        <w:pStyle w:val="Heading3"/>
        <w:keepNext/>
      </w:pPr>
      <w:r>
        <w:rPr>
          <w:rFonts w:ascii="Times New Roman" w:hAnsi="Times New Roman"/>
          <w:color w:val="000000"/>
        </w:rPr>
        <w:t>2.1.4. Vị trí của các quy trình trong chuỗi giá trị</w:t>
      </w:r>
    </w:p>
    <w:p>
      <w:pPr>
        <w:pStyle w:val="SkeletonPlaceholder"/>
      </w:pPr>
      <w:r>
        <w:rPr>
          <w:rFonts w:ascii="Times New Roman" w:hAnsi="Times New Roman"/>
          <w:i/>
          <w:color w:val="7F7F7F"/>
          <w:sz w:val="22"/>
          <w:highlight w:val="yellow"/>
        </w:rPr>
        <w:t>[Giải thích vị trí của các quy trình từ tiếp nhận đơn hàng đến giao hàng, thu hộ, hoàn trả và chăm sóc khách hàng.]</w:t>
      </w:r>
    </w:p>
    <w:p>
      <w:pPr>
        <w:pStyle w:val="Heading2"/>
        <w:keepNext/>
      </w:pPr>
      <w:r>
        <w:rPr>
          <w:rFonts w:ascii="Times New Roman" w:hAnsi="Times New Roman"/>
          <w:color w:val="000000"/>
        </w:rPr>
        <w:t>2.2. Các quy trình quản lý</w:t>
      </w:r>
    </w:p>
    <w:p>
      <w:pPr>
        <w:pStyle w:val="Heading3"/>
        <w:keepNext/>
      </w:pPr>
      <w:r>
        <w:rPr>
          <w:rFonts w:ascii="Times New Roman" w:hAnsi="Times New Roman"/>
          <w:color w:val="000000"/>
        </w:rPr>
        <w:t>2.2.1. Quản trị vòng đời đối tác cung ứng phương tiện vận tải</w:t>
      </w:r>
    </w:p>
    <w:p>
      <w:pPr>
        <w:pStyle w:val="SkeletonPlaceholder"/>
      </w:pPr>
      <w:r>
        <w:rPr>
          <w:rFonts w:ascii="Times New Roman" w:hAnsi="Times New Roman"/>
          <w:i/>
          <w:color w:val="7F7F7F"/>
          <w:sz w:val="22"/>
          <w:highlight w:val="yellow"/>
        </w:rPr>
        <w:t>[Tóm tắt bối cảnh, mục đích và phạm vi của quy trình Quản trị vòng đời đối tác cung ứng phương tiện vận tải;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trị vòng đời đối tác cung ứng phương tiện vận tải</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trị vòng đời đối tác cung ứng phương tiện vận tải</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trị vòng đời đối tác cung ứng phương tiện vận tải</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Quản trị vòng đời đối tác cung ứng phương tiện vận tải chỉ tóm tắt các giai đoạn chính; không thay thế BPMN ở Chương 4.]</w:t>
      </w:r>
    </w:p>
    <w:p>
      <w:pPr>
        <w:pStyle w:val="Heading3"/>
        <w:keepNext/>
      </w:pPr>
      <w:r>
        <w:rPr>
          <w:rFonts w:ascii="Times New Roman" w:hAnsi="Times New Roman"/>
          <w:color w:val="000000"/>
        </w:rPr>
        <w:t>2.2.2. Quản lý hiệu suất hoạt động vận hành</w:t>
      </w:r>
    </w:p>
    <w:p>
      <w:pPr>
        <w:pStyle w:val="SkeletonPlaceholder"/>
      </w:pPr>
      <w:r>
        <w:rPr>
          <w:rFonts w:ascii="Times New Roman" w:hAnsi="Times New Roman"/>
          <w:i/>
          <w:color w:val="7F7F7F"/>
          <w:sz w:val="22"/>
          <w:highlight w:val="yellow"/>
        </w:rPr>
        <w:t>[Tóm tắt bối cảnh, mục đích và phạm vi của quy trình Quản lý hiệu suất hoạt động vận hành;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hiệu suất hoạt động vận hành</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hiệu suất hoạt động vận hành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hiệu suất hoạt động vận hành</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Quản lý hiệu suất hoạt động vận hành chỉ tóm tắt các giai đoạn chính; không thay thế BPMN ở Chương 4.]</w:t>
      </w:r>
    </w:p>
    <w:p>
      <w:pPr>
        <w:pStyle w:val="Heading3"/>
        <w:keepNext/>
      </w:pPr>
      <w:r>
        <w:rPr>
          <w:rFonts w:ascii="Times New Roman" w:hAnsi="Times New Roman"/>
          <w:color w:val="000000"/>
        </w:rPr>
        <w:t>2.2.3. Quản lý kế hoạch kinh doanh dịch vụ chuyển phát</w:t>
      </w:r>
    </w:p>
    <w:p>
      <w:pPr>
        <w:pStyle w:val="SkeletonPlaceholder"/>
      </w:pPr>
      <w:r>
        <w:rPr>
          <w:rFonts w:ascii="Times New Roman" w:hAnsi="Times New Roman"/>
          <w:i/>
          <w:color w:val="7F7F7F"/>
          <w:sz w:val="22"/>
          <w:highlight w:val="yellow"/>
        </w:rPr>
        <w:t>[Tóm tắt bối cảnh, mục đích và phạm vi của quy trình Quản lý kế hoạch kinh doanh dịch vụ chuyển phát;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kế hoạch kinh doanh dịch vụ chuyển phát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kế hoạch kinh doanh dịch vụ chuyển phát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kế hoạch kinh doanh dịch vụ chuyển phát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Quản lý kế hoạch kinh doanh dịch vụ chuyển phát chỉ tóm tắt các giai đoạn chính; không thay thế BPMN ở Chương 4.]</w:t>
      </w:r>
    </w:p>
    <w:p>
      <w:pPr>
        <w:pStyle w:val="Heading2"/>
        <w:keepNext/>
      </w:pPr>
      <w:r>
        <w:rPr>
          <w:rFonts w:ascii="Times New Roman" w:hAnsi="Times New Roman"/>
          <w:color w:val="000000"/>
        </w:rPr>
        <w:t>2.3. Các quy trình cốt lõi</w:t>
      </w:r>
    </w:p>
    <w:p>
      <w:pPr>
        <w:pStyle w:val="Heading3"/>
        <w:keepNext/>
      </w:pPr>
      <w:r>
        <w:rPr>
          <w:rFonts w:ascii="Times New Roman" w:hAnsi="Times New Roman"/>
          <w:color w:val="000000"/>
        </w:rPr>
        <w:t>2.3.1. Tiếp nhận đơn hàng</w:t>
      </w:r>
    </w:p>
    <w:p>
      <w:pPr>
        <w:pStyle w:val="SkeletonPlaceholder"/>
      </w:pPr>
      <w:r>
        <w:rPr>
          <w:rFonts w:ascii="Times New Roman" w:hAnsi="Times New Roman"/>
          <w:i/>
          <w:color w:val="7F7F7F"/>
          <w:sz w:val="22"/>
          <w:highlight w:val="yellow"/>
        </w:rPr>
        <w:t>[Tóm tắt bối cảnh, mục đích và phạm vi của quy trình Tiếp nhận đơn hàng;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Tiếp nhận đơn hàng</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Tiếp nhận đơn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Tiếp nhận đơn hàng</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Tiếp nhận đơn hàng chỉ tóm tắt các giai đoạn chính; không thay thế BPMN ở Chương 4.]</w:t>
      </w:r>
    </w:p>
    <w:p>
      <w:pPr>
        <w:pStyle w:val="Heading3"/>
        <w:keepNext/>
      </w:pPr>
      <w:r>
        <w:rPr>
          <w:rFonts w:ascii="Times New Roman" w:hAnsi="Times New Roman"/>
          <w:color w:val="000000"/>
        </w:rPr>
        <w:t>2.3.2. Thu gom và tập kết</w:t>
      </w:r>
    </w:p>
    <w:p>
      <w:pPr>
        <w:pStyle w:val="SkeletonPlaceholder"/>
      </w:pPr>
      <w:r>
        <w:rPr>
          <w:rFonts w:ascii="Times New Roman" w:hAnsi="Times New Roman"/>
          <w:i/>
          <w:color w:val="7F7F7F"/>
          <w:sz w:val="22"/>
          <w:highlight w:val="yellow"/>
        </w:rPr>
        <w:t>[Tóm tắt bối cảnh, mục đích và phạm vi của quy trình Thu gom và tập kết;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Thu gom và tập kết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Thu gom và tập kết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Thu gom và tập kết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Thu gom và tập kết chỉ tóm tắt các giai đoạn chính; không thay thế BPMN ở Chương 4.]</w:t>
      </w:r>
    </w:p>
    <w:p>
      <w:pPr>
        <w:pStyle w:val="Heading3"/>
        <w:keepNext/>
      </w:pPr>
      <w:r>
        <w:rPr>
          <w:rFonts w:ascii="Times New Roman" w:hAnsi="Times New Roman"/>
          <w:color w:val="000000"/>
        </w:rPr>
        <w:t>2.3.3. Phân loại và chuyển phát trung tâm</w:t>
      </w:r>
    </w:p>
    <w:p>
      <w:pPr>
        <w:pStyle w:val="SkeletonPlaceholder"/>
      </w:pPr>
      <w:r>
        <w:rPr>
          <w:rFonts w:ascii="Times New Roman" w:hAnsi="Times New Roman"/>
          <w:i/>
          <w:color w:val="7F7F7F"/>
          <w:sz w:val="22"/>
          <w:highlight w:val="yellow"/>
        </w:rPr>
        <w:t>[Tóm tắt bối cảnh, mục đích và phạm vi của quy trình Phân loại và chuyển phát trung tâm;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Phân loại và chuyển phát trung tâm</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Phân loại và chuyển phát trung tâm</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Phân loại và chuyển phát trung tâm</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Phân loại và chuyển phát trung tâm chỉ tóm tắt các giai đoạn chính; không thay thế BPMN ở Chương 4.]</w:t>
      </w:r>
    </w:p>
    <w:p>
      <w:pPr>
        <w:pStyle w:val="Heading3"/>
        <w:keepNext/>
      </w:pPr>
      <w:r>
        <w:rPr>
          <w:rFonts w:ascii="Times New Roman" w:hAnsi="Times New Roman"/>
          <w:color w:val="000000"/>
        </w:rPr>
        <w:t>2.3.4. Vận chuyển liên tỉnh</w:t>
      </w:r>
    </w:p>
    <w:p>
      <w:pPr>
        <w:pStyle w:val="SkeletonPlaceholder"/>
      </w:pPr>
      <w:r>
        <w:rPr>
          <w:rFonts w:ascii="Times New Roman" w:hAnsi="Times New Roman"/>
          <w:i/>
          <w:color w:val="7F7F7F"/>
          <w:sz w:val="22"/>
          <w:highlight w:val="yellow"/>
        </w:rPr>
        <w:t>[Tóm tắt bối cảnh, mục đích và phạm vi của quy trình Vận chuyển liên tỉnh;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Vận chuyển liên tỉnh</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Vận chuyển liên tỉnh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Vận chuyển liên tỉnh</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Vận chuyển liên tỉnh chỉ tóm tắt các giai đoạn chính; không thay thế BPMN ở Chương 4.]</w:t>
      </w:r>
    </w:p>
    <w:p>
      <w:pPr>
        <w:pStyle w:val="Heading3"/>
        <w:keepNext/>
      </w:pPr>
      <w:r>
        <w:rPr>
          <w:rFonts w:ascii="Times New Roman" w:hAnsi="Times New Roman"/>
          <w:color w:val="000000"/>
        </w:rPr>
        <w:t>2.3.5. Tiếp nhận tại bưu cục đích và phân bổ tuyến giao</w:t>
      </w:r>
    </w:p>
    <w:p>
      <w:pPr>
        <w:pStyle w:val="SkeletonPlaceholder"/>
      </w:pPr>
      <w:r>
        <w:rPr>
          <w:rFonts w:ascii="Times New Roman" w:hAnsi="Times New Roman"/>
          <w:i/>
          <w:color w:val="7F7F7F"/>
          <w:sz w:val="22"/>
          <w:highlight w:val="yellow"/>
        </w:rPr>
        <w:t>[Tóm tắt bối cảnh, mục đích và phạm vi của quy trình Tiếp nhận tại bưu cục đích và phân bổ tuyến giao;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Tiếp nhận tại bưu cục đích và phân bổ tuyến giao</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Tiếp nhận tại bưu cục đích và phân bổ tuyến giao</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Tiếp nhận tại bưu cục đích và phân bổ tuyến giao</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Tiếp nhận tại bưu cục đích và phân bổ tuyến giao chỉ tóm tắt các giai đoạn chính; không thay thế BPMN ở Chương 4.]</w:t>
      </w:r>
    </w:p>
    <w:p>
      <w:pPr>
        <w:pStyle w:val="Heading3"/>
        <w:keepNext/>
      </w:pPr>
      <w:r>
        <w:rPr>
          <w:rFonts w:ascii="Times New Roman" w:hAnsi="Times New Roman"/>
          <w:color w:val="000000"/>
        </w:rPr>
        <w:t>2.3.6. Giao hàng tận nơi và xác nhận</w:t>
      </w:r>
    </w:p>
    <w:p>
      <w:pPr>
        <w:pStyle w:val="SkeletonPlaceholder"/>
      </w:pPr>
      <w:r>
        <w:rPr>
          <w:rFonts w:ascii="Times New Roman" w:hAnsi="Times New Roman"/>
          <w:i/>
          <w:color w:val="7F7F7F"/>
          <w:sz w:val="22"/>
          <w:highlight w:val="yellow"/>
        </w:rPr>
        <w:t>[Tóm tắt bối cảnh, mục đích và phạm vi của quy trình Giao hàng tận nơi và xác nhận;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Giao hàng tận nơi và xác nhận</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Giao hàng tận nơi và xác nhận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Giao hàng tận nơi và xác nhận</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Giao hàng tận nơi và xác nhận chỉ tóm tắt các giai đoạn chính; không thay thế BPMN ở Chương 4.]</w:t>
      </w:r>
    </w:p>
    <w:p>
      <w:pPr>
        <w:pStyle w:val="Heading3"/>
        <w:keepNext/>
      </w:pPr>
      <w:r>
        <w:rPr>
          <w:rFonts w:ascii="Times New Roman" w:hAnsi="Times New Roman"/>
          <w:color w:val="000000"/>
        </w:rPr>
        <w:t>2.3.7. Thu hộ COD và chuyển tiền</w:t>
      </w:r>
    </w:p>
    <w:p>
      <w:pPr>
        <w:pStyle w:val="SkeletonPlaceholder"/>
      </w:pPr>
      <w:r>
        <w:rPr>
          <w:rFonts w:ascii="Times New Roman" w:hAnsi="Times New Roman"/>
          <w:i/>
          <w:color w:val="7F7F7F"/>
          <w:sz w:val="22"/>
          <w:highlight w:val="yellow"/>
        </w:rPr>
        <w:t>[Tóm tắt bối cảnh, mục đích và phạm vi của quy trình Thu hộ COD và chuyển tiền;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Thu hộ COD và chuyển tiền</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Thu hộ COD và chuyển tiền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Thu hộ COD và chuyển tiền</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Thu hộ COD và chuyển tiền chỉ tóm tắt các giai đoạn chính; không thay thế BPMN ở Chương 4.]</w:t>
      </w:r>
    </w:p>
    <w:p>
      <w:pPr>
        <w:pStyle w:val="Heading3"/>
        <w:keepNext/>
      </w:pPr>
      <w:r>
        <w:rPr>
          <w:rFonts w:ascii="Times New Roman" w:hAnsi="Times New Roman"/>
          <w:color w:val="000000"/>
        </w:rPr>
        <w:t>2.3.8. Quản lý hoàn trả</w:t>
      </w:r>
    </w:p>
    <w:p>
      <w:pPr>
        <w:pStyle w:val="SkeletonPlaceholder"/>
      </w:pPr>
      <w:r>
        <w:rPr>
          <w:rFonts w:ascii="Times New Roman" w:hAnsi="Times New Roman"/>
          <w:i/>
          <w:color w:val="7F7F7F"/>
          <w:sz w:val="22"/>
          <w:highlight w:val="yellow"/>
        </w:rPr>
        <w:t>[Tóm tắt bối cảnh, mục đích và phạm vi của quy trình Quản lý hoàn trả;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hoàn trả</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hoàn trả</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hoàn trả</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Quản lý hoàn trả chỉ tóm tắt các giai đoạn chính; không thay thế BPMN ở Chương 4.]</w:t>
      </w:r>
    </w:p>
    <w:p>
      <w:pPr>
        <w:pStyle w:val="Heading2"/>
        <w:keepNext/>
      </w:pPr>
      <w:r>
        <w:rPr>
          <w:rFonts w:ascii="Times New Roman" w:hAnsi="Times New Roman"/>
          <w:color w:val="000000"/>
        </w:rPr>
        <w:t>2.4. Các quy trình hỗ trợ</w:t>
      </w:r>
    </w:p>
    <w:p>
      <w:pPr>
        <w:pStyle w:val="Heading3"/>
        <w:keepNext/>
      </w:pPr>
      <w:r>
        <w:rPr>
          <w:rFonts w:ascii="Times New Roman" w:hAnsi="Times New Roman"/>
          <w:color w:val="000000"/>
        </w:rPr>
        <w:t>2.4.1. Tuyển dụng và đào tạo nhân sự</w:t>
      </w:r>
    </w:p>
    <w:p>
      <w:pPr>
        <w:pStyle w:val="SkeletonPlaceholder"/>
      </w:pPr>
      <w:r>
        <w:rPr>
          <w:rFonts w:ascii="Times New Roman" w:hAnsi="Times New Roman"/>
          <w:i/>
          <w:color w:val="7F7F7F"/>
          <w:sz w:val="22"/>
          <w:highlight w:val="yellow"/>
        </w:rPr>
        <w:t>[Tóm tắt bối cảnh, mục đích và phạm vi của quy trình Tuyển dụng và đào tạo nhân sự;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Tuyển dụng và đào tạo nhân sự</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Tuyển dụng và đào tạo nhân sự</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Tuyển dụng và đào tạo nhân sự</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Tuyển dụng và đào tạo nhân sự chỉ tóm tắt các giai đoạn chính; không thay thế BPMN ở Chương 4.]</w:t>
      </w:r>
    </w:p>
    <w:p>
      <w:pPr>
        <w:pStyle w:val="Heading3"/>
        <w:keepNext/>
      </w:pPr>
      <w:r>
        <w:rPr>
          <w:rFonts w:ascii="Times New Roman" w:hAnsi="Times New Roman"/>
          <w:color w:val="000000"/>
        </w:rPr>
        <w:t>2.4.2. Chăm sóc khách hàng</w:t>
      </w:r>
    </w:p>
    <w:p>
      <w:pPr>
        <w:pStyle w:val="SkeletonPlaceholder"/>
      </w:pPr>
      <w:r>
        <w:rPr>
          <w:rFonts w:ascii="Times New Roman" w:hAnsi="Times New Roman"/>
          <w:i/>
          <w:color w:val="7F7F7F"/>
          <w:sz w:val="22"/>
          <w:highlight w:val="yellow"/>
        </w:rPr>
        <w:t>[Tóm tắt bối cảnh, mục đích và phạm vi của quy trình Chăm sóc khách hàng;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Chăm sóc khách hàng</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Chăm sóc khách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Chăm sóc khách hàng</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Chăm sóc khách hàng chỉ tóm tắt các giai đoạn chính; không thay thế BPMN ở Chương 4.]</w:t>
      </w:r>
    </w:p>
    <w:p>
      <w:pPr>
        <w:pStyle w:val="Heading3"/>
        <w:keepNext/>
      </w:pPr>
      <w:r>
        <w:rPr>
          <w:rFonts w:ascii="Times New Roman" w:hAnsi="Times New Roman"/>
          <w:color w:val="000000"/>
        </w:rPr>
        <w:t>2.4.3. Quản lý và hỗ trợ hệ thống CNTT</w:t>
      </w:r>
    </w:p>
    <w:p>
      <w:pPr>
        <w:pStyle w:val="SkeletonPlaceholder"/>
      </w:pPr>
      <w:r>
        <w:rPr>
          <w:rFonts w:ascii="Times New Roman" w:hAnsi="Times New Roman"/>
          <w:i/>
          <w:color w:val="7F7F7F"/>
          <w:sz w:val="22"/>
          <w:highlight w:val="yellow"/>
        </w:rPr>
        <w:t>[Tóm tắt bối cảnh, mục đích và phạm vi của quy trình Quản lý và hỗ trợ hệ thống CNTT; không lặp nội dung mô hình hóa hoặc phân tích ở Chương 4-5.]</w:t>
      </w:r>
    </w:p>
    <w:p>
      <w:pPr>
        <w:pStyle w:val="SkeletonPlaceholder"/>
      </w:pPr>
      <w:r>
        <w:rPr>
          <w:rFonts w:ascii="Times New Roman" w:hAnsi="Times New Roman"/>
          <w:i/>
          <w:color w:val="7F7F7F"/>
          <w:sz w:val="22"/>
          <w:highlight w:val="yellow"/>
        </w:rPr>
        <w:t>Bảng [số]: Thông tin quy trình Quản lý và hỗ trợ hệ thống CNTT</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Thuộc tính</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Thông tin chi tiết</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Tên quy trình</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Tác nhân</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Sự kiện bắt đầu</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vào</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Đầu ra</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Đối tượng khách hàng/thụ hưởng</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left"/>
            </w:pPr>
            <w:r>
              <w:rPr>
                <w:rFonts w:ascii="Times New Roman" w:hAnsi="Times New Roman"/>
                <w:b w:val="0"/>
                <w:color w:val="000000"/>
                <w:sz w:val="21"/>
              </w:rPr>
              <w:t>Giá trị mang lại</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bước của quy trình Quản lý và hỗ trợ hệ thống CNTT</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bước</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Các kết quả có thể xảy ra của quy trình Quản lý và hỗ trợ hệ thống CNTT</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kết quả</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cụ thể</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và kịch bản kết thúc quy trình</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[Tích cực/Tiêu cực]</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[Sơ đồ khái quát của quy trình Quản lý và hỗ trợ hệ thống CNTT chỉ tóm tắt các giai đoạn chính; không thay thế BPMN ở Chương 4.]</w:t>
      </w:r>
    </w:p>
    <w:p>
      <w:pPr>
        <w:pStyle w:val="Heading2"/>
        <w:keepNext/>
      </w:pPr>
      <w:r>
        <w:rPr>
          <w:rFonts w:ascii="Times New Roman" w:hAnsi="Times New Roman"/>
          <w:color w:val="000000"/>
        </w:rPr>
        <w:t>2.5. Tổng quan hệ thống quy trình</w:t>
      </w:r>
    </w:p>
    <w:p>
      <w:pPr>
        <w:pStyle w:val="SkeletonPlaceholder"/>
      </w:pPr>
      <w:r>
        <w:rPr>
          <w:rFonts w:ascii="Times New Roman" w:hAnsi="Times New Roman"/>
          <w:i/>
          <w:color w:val="7F7F7F"/>
          <w:sz w:val="22"/>
          <w:highlight w:val="yellow"/>
        </w:rPr>
        <w:t>[Bảng này chỉ phục vụ điều hướng và đặt các quy trình vào chuỗi giá trị; thông tin actor, đầu vào, đầu ra, đối tượng thụ hưởng và giá trị được trình bày tại từng mục quy trình.]</w:t>
      </w:r>
    </w:p>
    <w:p>
      <w:pPr>
        <w:pStyle w:val="SkeletonPlaceholder"/>
      </w:pPr>
      <w:r>
        <w:rPr>
          <w:rFonts w:ascii="Times New Roman" w:hAnsi="Times New Roman"/>
          <w:i/>
          <w:color w:val="7F7F7F"/>
          <w:sz w:val="22"/>
          <w:highlight w:val="yellow"/>
        </w:rPr>
        <w:t>Bảng [số]: Tổng quan hệ thống quy trình Viettel Post</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Vị trí trong chuỗi giá trị</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Mục mô tả</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[Mã]</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[Tên quy trình]</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[Quản lý/Cốt lõi/Hỗ trợ]</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[Mục 2.x.x]</w:t>
            </w:r>
          </w:p>
        </w:tc>
      </w:tr>
    </w:tbl>
    <w:p>
      <w:pPr>
        <w:pStyle w:val="Heading2"/>
        <w:keepNext/>
      </w:pPr>
      <w:r>
        <w:rPr>
          <w:rFonts w:ascii="Times New Roman" w:hAnsi="Times New Roman"/>
          <w:color w:val="000000"/>
        </w:rPr>
        <w:t>2.6. Mối liên hệ giữa các quy trình trong chuỗi giá trị logistics</w:t>
      </w:r>
    </w:p>
    <w:p>
      <w:pPr>
        <w:pStyle w:val="SkeletonPlaceholder"/>
      </w:pPr>
      <w:r>
        <w:rPr>
          <w:rFonts w:ascii="Times New Roman" w:hAnsi="Times New Roman"/>
          <w:i/>
          <w:color w:val="7F7F7F"/>
          <w:sz w:val="22"/>
          <w:highlight w:val="yellow"/>
        </w:rPr>
        <w:t>[Trình bày luồng process-to-process từ tiếp nhận đơn đến giao hàng, COD, hoàn trả và CSKH; đây là nơi duy nhất mô tả mối liên hệ giữa các quy trình.]</w:t>
      </w:r>
    </w:p>
    <w:p>
      <w:pPr>
        <w:pStyle w:val="SkeletonPlaceholder"/>
      </w:pPr>
      <w:r>
        <w:rPr>
          <w:rFonts w:ascii="Times New Roman" w:hAnsi="Times New Roman"/>
          <w:i/>
          <w:color w:val="7F7F7F"/>
          <w:sz w:val="22"/>
          <w:highlight w:val="yellow"/>
        </w:rPr>
        <w:t>[Chèn sơ đồ chuỗi giá trị logistics]</w:t>
      </w:r>
    </w:p>
    <w:p>
      <w:pPr>
        <w:pStyle w:val="SkeletonPlaceholder"/>
      </w:pPr>
      <w:r>
        <w:rPr>
          <w:rFonts w:ascii="Times New Roman" w:hAnsi="Times New Roman"/>
          <w:i/>
          <w:color w:val="7F7F7F"/>
          <w:sz w:val="22"/>
          <w:highlight w:val="yellow"/>
        </w:rPr>
        <w:t>Hình [số]. Mối liên hệ giữa các quy trình nghiệp vụ Viettel Post</w:t>
      </w:r>
    </w:p>
    <w:p>
      <w:pPr>
        <w:pStyle w:val="SkeletonPlaceholder"/>
      </w:pPr>
      <w:r>
        <w:rPr>
          <w:rFonts w:ascii="Times New Roman" w:hAnsi="Times New Roman"/>
          <w:i/>
          <w:color w:val="7F7F7F"/>
          <w:sz w:val="22"/>
          <w:highlight w:val="yellow"/>
        </w:rPr>
        <w:t>Nguồn: [Bổ sung nguồn]</w:t>
      </w:r>
    </w:p>
    <w:p>
      <w:pPr>
        <w:pStyle w:val="Heading2"/>
        <w:keepNext/>
      </w:pPr>
      <w:r>
        <w:rPr>
          <w:rFonts w:ascii="Times New Roman" w:hAnsi="Times New Roman"/>
          <w:color w:val="000000"/>
        </w:rPr>
        <w:t>2.7. Các quy trình được lựa chọn để mô hình hóa và phân tích</w:t>
      </w:r>
    </w:p>
    <w:p>
      <w:pPr>
        <w:pStyle w:val="SkeletonPlaceholder"/>
      </w:pPr>
      <w:r>
        <w:rPr>
          <w:rFonts w:ascii="Times New Roman" w:hAnsi="Times New Roman"/>
          <w:i/>
          <w:color w:val="7F7F7F"/>
          <w:sz w:val="22"/>
          <w:highlight w:val="yellow"/>
        </w:rPr>
        <w:t>[Giải thích lựa chọn dựa trên vai trò, độ phức tạp, dữ liệu và tác động trong phạm vi nghiên cứu.]</w:t>
      </w:r>
    </w:p>
    <w:p>
      <w:pPr>
        <w:pStyle w:val="SkeletonPlaceholder"/>
      </w:pPr>
      <w:r>
        <w:rPr>
          <w:rFonts w:ascii="Times New Roman" w:hAnsi="Times New Roman"/>
          <w:i/>
          <w:color w:val="7F7F7F"/>
          <w:sz w:val="22"/>
          <w:highlight w:val="yellow"/>
        </w:rPr>
        <w:t>Bảng [số]: Các quy trình được lựa chọn để mô hình hóa và phân tích</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Lý do lựa chọn</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mô hình hóa</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rsidR="00000000" w:rsidDel="00000000" w:rsidP="00000000" w:rsidRDefault="00000000" w:rsidRPr="00000000" w14:paraId="000000AB">
      <w:pPr>
        <w:pStyle w:val="Heading1"/>
        <w:keepNext/>
        <w:pageBreakBefore/>
        <w:spacing w:after="240" w:before="480" w:line="360" w:lineRule="auto"/>
        <w:jc w:val="left"/>
        <w:rPr/>
      </w:pPr>
      <w:bookmarkStart w:colFirst="0" w:colLast="0" w:name="_heading=h.vmi0cgelbdkp" w:id="23"/>
      <w:bookmarkEnd w:id="23"/>
      <w:r w:rsidDel="00000000" w:rsidR="00000000" w:rsidRPr="00000000">
        <w:rPr>
          <w:rFonts w:ascii="Times New Roman" w:cs="Times New Roman" w:eastAsia="Times New Roman" w:hAnsi="Times New Roman"/>
          <w:b/>
          <w:bCs w:val="1"/>
          <w:i w:val="0"/>
          <w:color w:val="000000"/>
          <w:sz w:val="32"/>
          <w:szCs w:val="32"/>
          <w:rtl w:val="0"/>
        </w:rPr>
        <w:t xml:space="preserve">CHƯƠNG 3. PHƯƠNG PHÁP THỰC HIỆN</w:t>
      </w:r>
      <w:r w:rsidDel="00000000" w:rsidR="00000000" w:rsidRPr="00000000">
        <w:rPr>
          <w:rFonts w:ascii="Times New Roman" w:hAnsi="Times New Roman"/>
          <w:b/>
          <w:i w:val="0"/>
          <w:color w:val="000000"/>
          <w:sz w:val="32"/>
          <w:rtl w:val="0"/>
        </w:rPr>
      </w:r>
    </w:p>
    <w:p>
      <w:pPr/>
      <w:r>
        <w:rPr>
          <w:rFonts w:ascii="Times New Roman" w:hAnsi="Times New Roman"/>
          <w:color w:val="000000"/>
        </w:rPr>
        <w:t>Chương này trình bày các bằng chứng, hoạt động workshop và phỏng vấn được sử dụng để mô tả các quy trình nghiệp vụ trong phạm vi nghiên cứu.</w:t>
      </w:r>
    </w:p>
    <w:p w:rsidR="00000000" w:rsidDel="00000000" w:rsidP="00000000" w:rsidRDefault="00000000" w:rsidRPr="00000000" w14:paraId="000000AD">
      <w:pPr>
        <w:pStyle w:val="Heading2"/>
        <w:keepNext/>
        <w:pageBreakBefore w:val="0"/>
        <w:spacing w:after="140" w:before="280" w:line="360" w:lineRule="auto"/>
        <w:jc w:val="left"/>
        <w:rPr/>
      </w:pPr>
      <w:r>
        <w:rPr>
          <w:rFonts w:ascii="Times New Roman" w:hAnsi="Times New Roman"/>
          <w:color w:val="000000"/>
        </w:rPr>
        <w:t>3.1. Dựa trên bằng chứng</w:t>
      </w:r>
    </w:p>
    <w:p w:rsidR="00000000" w:rsidDel="00000000" w:rsidP="00000000" w:rsidRDefault="00000000" w:rsidRPr="00000000" w14:paraId="000000AE">
      <w:pPr>
        <w:spacing w:after="120" w:before="0" w:line="276" w:lineRule="auto"/>
        <w:ind w:firstLine="432"/>
        <w:jc w:val="both"/>
        <w:rPr/>
      </w:pPr>
      <w:r>
        <w:rPr>
          <w:rFonts w:ascii="Times New Roman" w:hAnsi="Times New Roman"/>
          <w:color w:val="000000"/>
        </w:rPr>
        <w:t>Nhóm phân tích các nhóm tài liệu được sử dụng trong phạm vi đề tài nhằm mô tả hoạt động, trách nhiệm, quy tắc và kết quả của từng quy trình hiện có, bao gồm: mô tả quy trình hiện có, sơ đồ tổ chức, báo cáo chất lượng, chính sách nội bộ, kế hoạch làm việc, thuật ngữ và sổ tay, hướng dẫn công việc và biểu mẫu nghiệp vụ. Mục tiêu là xác định rõ các bước thực hiện, tác nhân, đầu vào, đầu ra và thông tin trao đổi trong từng quy trình, làm cơ sở cho việc mô hình hóa BPMN ở các chương sau.</w:t>
      </w:r>
    </w:p>
    <w:p w:rsidR="00000000" w:rsidDel="00000000" w:rsidP="00000000" w:rsidRDefault="00000000" w:rsidRPr="00000000" w14:paraId="000000AF">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3.1 Danh mục tài liệu và minh chứng quy trình</w:t>
      </w:r>
      <w:r w:rsidDel="00000000" w:rsidR="00000000" w:rsidRPr="00000000">
        <w:rPr>
          <w:rFonts w:ascii="Times New Roman" w:hAnsi="Times New Roman"/>
          <w:i/>
          <w:color w:val="000000"/>
          <w:sz w:val="21"/>
          <w:rtl w:val="0"/>
        </w:rPr>
      </w:r>
    </w:p>
    <w:tbl>
      <w:tblPr>
        <w:tblStyle w:val="Table2"/>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1400"/>
        <w:gridCol w:w="1300"/>
        <w:gridCol w:w="3200"/>
        <w:gridCol w:w="1800"/>
        <w:gridCol w:w="826"/>
        <w:tblGridChange w:id="0">
          <w:tblGrid>
            <w:gridCol w:w="500"/>
            <w:gridCol w:w="1400"/>
            <w:gridCol w:w="1300"/>
            <w:gridCol w:w="3200"/>
            <w:gridCol w:w="1800"/>
            <w:gridCol w:w="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Tên tài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Nguồn / Đơn vị cung cấp</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Mã phụ lục</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Mô tả quy trình hiện có</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Tài liệu nội bộ</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Kiến trúc, các bước thực hiện, tác nhân và kết quả có thể xảy ra của từng quy trình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ban nghiệp vụ Viettel Post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PL-01</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Sơ đồ tổ chức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Sơ đồ tổ chức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B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 phòng ban, vị trí và mối quan hệ phối hợp trong doanh nghiệp</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Ban Tổng Giám đốc Viettel Post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PL-02</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Báo cáo chất lượng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Báo cáo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Tỷ lệ đúng hạn, sai lịch, hoàn tất và khiếu nại theo từng quy trình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vận hành / CSKH Viettel Post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PL-03</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Chính sách nội bộ</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Văn bản quy định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Quy định, tiêu chuẩn dịch vụ và điều kiện xử lý áp dụng cho các quy trình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Ban Tổng Giám đốc và các khối chức năng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PL-04</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C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hoạch làm việc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Bảng phân ca / lịch công tác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 làm việc, lịch phân công và thời hạn xử lý theo từng giai đoạn quy trình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vận hành, CSKH,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PL-05</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Thuật ngữ và sổ tay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Sổ tay / quy chuẩn nghiệp vụ</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Định nghĩa nghiệp vụ, quy chuẩn kỹ thuật và hướng dẫn thao tác dùng chung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Viettel Post (sổ tay quy chuẩn dịch vụ, vận hành, kỹ thuật)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PL-06</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Hướng dẫn công việc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Hướng dẫn thao tác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Cách thực hiện, điều kiện ngoại lệ và yêu cầu bàn giao trong từng bước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vận hành Viettel Post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D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PL-07</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Biểu mẫu nghiệp vụ</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Biểu mẫu / chứng từ</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Phiếu, checklist, biên bản, tờ trình và chứng từ sử dụng trong quy trình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 phòng ban nghiệp vụ Viettel Post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E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PL-08</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0E6">
      <w:pPr>
        <w:spacing w:after="200" w:before="0" w:line="276" w:lineRule="auto"/>
        <w:jc w:val="center"/>
        <w:rPr/>
      </w:pPr>
      <w:r>
        <w:rPr>
          <w:rFonts w:ascii="Times New Roman" w:hAnsi="Times New Roman"/>
          <w:color w:val="000000"/>
        </w:rPr>
        <w:t>Nguồn: Nhóm tổng hợp từ các hồ sơ quy trình và tài liệu được sử dụng trong phạm vi đề tài, 2026.</w:t>
      </w:r>
    </w:p>
    <w:p w:rsidR="00000000" w:rsidDel="00000000" w:rsidP="00000000" w:rsidRDefault="00000000" w:rsidRPr="00000000" w14:paraId="0000015F">
      <w:pPr>
        <w:pStyle w:val="Heading3"/>
        <w:keepNext/>
        <w:pageBreakBefore w:val="0"/>
        <w:spacing w:after="100" w:before="220" w:line="360" w:lineRule="auto"/>
        <w:jc w:val="left"/>
        <w:rPr/>
      </w:pPr>
      <w:r>
        <w:rPr>
          <w:rFonts w:ascii="Times New Roman" w:hAnsi="Times New Roman"/>
          <w:color w:val="000000"/>
        </w:rPr>
        <w:t>3.1.1. Tài liệu mô tả quy trình hiện có</w:t>
      </w:r>
    </w:p>
    <w:p w:rsidR="00000000" w:rsidDel="00000000" w:rsidP="00000000" w:rsidRDefault="00000000" w:rsidRPr="00000000" w14:paraId="00000160">
      <w:pPr>
        <w:spacing w:after="120" w:before="160" w:line="276" w:lineRule="auto"/>
        <w:ind w:firstLine="432"/>
        <w:jc w:val="both"/>
        <w:rPr/>
      </w:pPr>
      <w:r>
        <w:rPr>
          <w:rFonts w:ascii="Times New Roman" w:hAnsi="Times New Roman"/>
          <w:color w:val="000000"/>
        </w:rPr>
        <w:t>Mô tả quy trình hiện có (PL-01) là căn cứ nền tảng xác định kiến trúc, các bước thực hiện, tác nhân và kết quả có thể xảy ra của từng quy trình, được tổng hợp từ các hồ sơ và tài liệu được sử dụng trong phạm vi đề tài. Nội dung này đã được trình bày tại Chương 2 và Hình 2.1 và được hệ thống hóa trong các mục mô tả quy trình tại Chương 2, tổng hợp theo các nhóm quy trình: quản lý, cốt lõi đầu vào, cốt lõi vận chuyển/sau giao và hỗ trợ. Bảng dưới đây tổng hợp lại danh mục 14 quy trình theo từng nhóm, làm cơ sở đối chiếu khi lựa chọn actor và phạm vi phỏng vấn tại Mục 3.3.</w:t>
      </w:r>
    </w:p>
    <w:p w:rsidR="00000000" w:rsidDel="00000000" w:rsidP="00000000" w:rsidRDefault="00000000" w:rsidRPr="00000000" w14:paraId="00000161">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4501988" cy="3800475"/>
            <wp:effectExtent b="0" l="0" r="0" t="0"/>
            <wp:docPr id="317" name="image3.png" descr="Image: image3.png"/>
            <a:graphic>
              <a:graphicData uri="http://schemas.openxmlformats.org/drawingml/2006/picture">
                <pic:pic>
                  <pic:nvPicPr>
                    <pic:cNvPr id="0" name="image3.png"/>
                    <pic:cNvPicPr preferRelativeResize="0"/>
                  </pic:nvPicPr>
                  <pic:blipFill>
                    <a:blip r:embed="rId38"/>
                    <a:srcRect b="14009" l="0" r="5281" t="0"/>
                    <a:stretch>
                      <a:fillRect/>
                    </a:stretch>
                  </pic:blipFill>
                  <pic:spPr>
                    <a:xfrm>
                      <a:off x="0" y="0"/>
                      <a:ext cx="4501988" cy="380047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62">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3.10: Danh mục 14 quy trình hiện có theo nhóm quy trình</w:t>
      </w:r>
      <w:r w:rsidDel="00000000" w:rsidR="00000000" w:rsidRPr="00000000">
        <w:rPr>
          <w:rFonts w:ascii="Times New Roman" w:hAnsi="Times New Roman"/>
          <w:i/>
          <w:color w:val="000000"/>
          <w:sz w:val="21"/>
          <w:rtl w:val="0"/>
        </w:rPr>
      </w:r>
    </w:p>
    <w:p w:rsidR="00000000" w:rsidDel="00000000" w:rsidP="00000000" w:rsidRDefault="00000000" w:rsidRPr="00000000" w14:paraId="00000163">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kiến trúc quy trình nghiệp vụ Viettel Post (Hình 2.1) và Chương 2, 2026.</w:t>
      </w:r>
      <w:r w:rsidDel="00000000" w:rsidR="00000000" w:rsidRPr="00000000">
        <w:rPr>
          <w:rFonts w:ascii="Times New Roman" w:hAnsi="Times New Roman"/>
          <w:i/>
          <w:color w:val="000000"/>
          <w:sz w:val="19"/>
          <w:rtl w:val="0"/>
        </w:rPr>
      </w:r>
    </w:p>
    <w:p w:rsidR="00000000" w:rsidDel="00000000" w:rsidP="00000000" w:rsidRDefault="00000000" w:rsidRPr="00000000" w14:paraId="000000E7">
      <w:pPr>
        <w:pStyle w:val="Heading3"/>
        <w:keepNext/>
        <w:pageBreakBefore w:val="0"/>
        <w:spacing w:after="100" w:before="220" w:line="360" w:lineRule="auto"/>
        <w:jc w:val="left"/>
        <w:rPr/>
      </w:pPr>
      <w:r>
        <w:rPr>
          <w:rFonts w:ascii="Times New Roman" w:hAnsi="Times New Roman"/>
          <w:color w:val="000000"/>
        </w:rPr>
        <w:t>3.1.2. Sơ đồ tổ chức</w:t>
      </w:r>
    </w:p>
    <w:p w:rsidR="00000000" w:rsidDel="00000000" w:rsidP="00000000" w:rsidRDefault="00000000" w:rsidRPr="00000000" w14:paraId="000000E8">
      <w:pPr>
        <w:spacing w:after="120" w:before="0" w:line="276" w:lineRule="auto"/>
        <w:ind w:firstLine="432"/>
        <w:jc w:val="both"/>
        <w:rPr/>
      </w:pPr>
      <w:r>
        <w:rPr>
          <w:rFonts w:ascii="Times New Roman" w:hAnsi="Times New Roman"/>
          <w:color w:val="000000"/>
        </w:rPr>
        <w:t>Sơ đồ tổ chức của Viettel Post — căn cứ để xác định các actor và đối tượng phỏng vấn trong Mục 3.3 — đã được trình bày tại Hình 1.2 (Mục 1.2.1, Chương 1). Sơ đồ thể hiện ba khối vận hành chính (khối tham mưu, khối kinh doanh, khối triển khai) cùng mối quan hệ chỉ đạo và phối hợp giữa các phòng ban, làm cơ sở đối chiếu actor trong mô tả quy trình với pool/lane trên sơ đồ BPMN.</w:t>
      </w:r>
    </w:p>
    <w:p w:rsidR="00000000" w:rsidDel="00000000" w:rsidP="00000000" w:rsidRDefault="00000000" w:rsidRPr="00000000" w14:paraId="000000E9">
      <w:pPr>
        <w:pStyle w:val="Heading3"/>
        <w:keepNext/>
        <w:pageBreakBefore w:val="0"/>
        <w:spacing w:after="100" w:before="220" w:line="360" w:lineRule="auto"/>
        <w:jc w:val="left"/>
        <w:rPr/>
      </w:pPr>
      <w:r>
        <w:rPr>
          <w:rFonts w:ascii="Times New Roman" w:hAnsi="Times New Roman"/>
          <w:color w:val="000000"/>
        </w:rPr>
        <w:t>3.1.3. Kế hoạch làm việc</w:t>
      </w:r>
    </w:p>
    <w:p w:rsidR="00000000" w:rsidDel="00000000" w:rsidP="00000000" w:rsidRDefault="00000000" w:rsidRPr="00000000" w14:paraId="000000EA">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Kế hoạch làm việc tổng hợp cách phân bổ thời gian và trách nhiệm trong các quy trình có tính chất theo ca (CSKH, Hoàn trả, Thu phí COD) và theo giai đoạn tích lũy (quy trình tuyển dụng và đào tạo), làm căn cứ tham khảo khi phân tích thời lượng xử lý ở các chương sau.</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EB">
      <w:pPr>
        <w:spacing w:after="0" w:before="12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5760720" cy="2406409"/>
            <wp:effectExtent b="0" l="0" r="0" t="0"/>
            <wp:docPr id="336" name="image25.png" descr="Image: image25.png"/>
            <a:graphic>
              <a:graphicData uri="http://schemas.openxmlformats.org/drawingml/2006/picture">
                <pic:pic>
                  <pic:nvPicPr>
                    <pic:cNvPr id="0" name="image25.png"/>
                    <pic:cNvPicPr preferRelativeResize="0"/>
                  </pic:nvPicPr>
                  <pic:blipFill>
                    <a:blip r:embed="rId29"/>
                    <a:srcRect b="0" l="0" r="0" t="0"/>
                    <a:stretch>
                      <a:fillRect/>
                    </a:stretch>
                  </pic:blipFill>
                  <pic:spPr>
                    <a:xfrm>
                      <a:off x="0" y="0"/>
                      <a:ext cx="5760720" cy="240640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0EC">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3.1 Kế hoạch làm việc theo ca và theo giai đoạn tích lũy</w:t>
      </w:r>
      <w:r w:rsidDel="00000000" w:rsidR="00000000" w:rsidRPr="00000000">
        <w:rPr>
          <w:rFonts w:ascii="Times New Roman" w:hAnsi="Times New Roman"/>
          <w:i/>
          <w:color w:val="000000"/>
          <w:sz w:val="21"/>
          <w:rtl w:val="0"/>
        </w:rPr>
      </w:r>
    </w:p>
    <w:p w:rsidR="00000000" w:rsidDel="00000000" w:rsidP="00000000" w:rsidRDefault="00000000" w:rsidRPr="00000000" w14:paraId="000000E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kế hoạch làm việc nội bộ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0EE">
      <w:pPr>
        <w:pStyle w:val="Heading3"/>
        <w:keepNext/>
        <w:pageBreakBefore w:val="0"/>
        <w:spacing w:after="100" w:before="220" w:line="360" w:lineRule="auto"/>
        <w:jc w:val="left"/>
        <w:rPr/>
      </w:pPr>
      <w:r>
        <w:rPr>
          <w:rFonts w:ascii="Times New Roman" w:hAnsi="Times New Roman"/>
          <w:color w:val="000000"/>
        </w:rPr>
        <w:t>3.1.4. Thuật ngữ và sổ tay</w:t>
      </w:r>
    </w:p>
    <w:p w:rsidR="00000000" w:rsidDel="00000000" w:rsidP="00000000" w:rsidRDefault="00000000" w:rsidRPr="00000000" w14:paraId="000000EF">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thống nhất thuật ngữ, cách hiểu và cách đo lường giữa các quy trình, nhóm tổng hợp bảng thuật ngữ dùng chung, bao gồm cả nhóm thuật ngữ về hệ thống công nghệ, nghiệp vụ và dịch vụ, chỉ số hiệu suất, cũng như khung phân loại giá trị (VA/BVA/NVA) và khung phân loại lãng phí (Move/Hold/Over-do) sẽ được sử dụng ở các chương phân tích quy trình tiếp theo.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0F0">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3.2 Thuật ngữ và định nghĩa</w:t>
      </w:r>
      <w:r w:rsidDel="00000000" w:rsidR="00000000" w:rsidRPr="00000000">
        <w:rPr>
          <w:rFonts w:ascii="Times New Roman" w:hAnsi="Times New Roman"/>
          <w:i/>
          <w:color w:val="000000"/>
          <w:sz w:val="21"/>
          <w:rtl w:val="0"/>
        </w:rPr>
      </w:r>
    </w:p>
    <w:tbl>
      <w:tblPr>
        <w:tblStyle w:val="Table3"/>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2000"/>
        <w:gridCol w:w="2600"/>
        <w:gridCol w:w="4426"/>
        <w:tblGridChange w:id="0">
          <w:tblGrid>
            <w:gridCol w:w="2000"/>
            <w:gridCol w:w="2600"/>
            <w:gridCol w:w="44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Thuật ngữ</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Tiếng Anh</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Ý nghĩa</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POD / ePOD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Proof of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Bằng chứng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OMS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Order Management System / API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Tiếp nhận và ghi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TMS / CRM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Transport Management System / Customer Relationship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lý vận tải và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HRM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Human Resource Management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0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Quản trị nhân sự</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SSOT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Single Source of Truth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Nguồn dữ liệu dùng chung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WMS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Warehouse Management System</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Hệ thống quản lý kho</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Cash On Delivery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hộ tiền khi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SLA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Service Level Agreement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Cam kết thời gian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CSAT / FCR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Customer Satisfaction / First Contact Resolution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Chất lượng phục vụ khách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KPI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Key Performance Indicator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chính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BPMN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Business Process Model and Notation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Ký hiệu và mô hình quy trình kinh doanh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Pool / Lane / Gateway</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Cấu trúc mô hình BPMN: phạm vi tác nhân, phân chia trách nhiệm, điểm quyết định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 / BVA / NVA</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Value-Added / Business Value-Added / Non-Value-Added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Phân loại giá trị của một hoạt động trong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 WT / CT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Processing Time / Waiting Time / Cycle Time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Các thành phần thời gian xử lý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PCE / FTR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Process Cycle Efficiency / First Time Right / Yield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Chỉ số hiệu suất và chất lượng quy trình</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MOVE (Motion)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Motion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di chuyển thừa (một trong tám loại lãng phí Lean)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HOLD (Waiting)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Waiting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chờ đợi hoặc tồn đọng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OVERDO (Overprocessing)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Overprocessing waste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Lãng phí do xử lý vượt mức cần thiết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Manifest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Bảng kê hàng gom theo tuyến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Vận đơn / 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Waybill</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Chứng từ thông tin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DWS</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Dimension Weight Scan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Cân, đo và kiểm tra kích thước hàng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Đối soát / 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Reconciliation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số liệu COD giữa các bên liên quan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lệch / 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Variance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Chênh lệch số liệu hoặc tiền phát sinh khi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SBU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Strategic Business Unit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Đơn vị kinh doanh chiến lược</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3C">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tổng hợp từ sổ tay quy chuẩn dịch vụ, quy chuẩn vận hành và tài liệu nội bộ Viettel Post, 2024–2026.</w:t>
      </w:r>
      <w:r w:rsidDel="00000000" w:rsidR="00000000" w:rsidRPr="00000000">
        <w:rPr>
          <w:rFonts w:ascii="Times New Roman" w:hAnsi="Times New Roman"/>
          <w:i/>
          <w:color w:val="000000"/>
          <w:sz w:val="19"/>
          <w:rtl w:val="0"/>
        </w:rPr>
      </w:r>
    </w:p>
    <w:p w:rsidR="00000000" w:rsidDel="00000000" w:rsidP="00000000" w:rsidRDefault="00000000" w:rsidRPr="00000000" w14:paraId="0000013D">
      <w:pPr>
        <w:spacing w:after="120" w:before="16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Để trực quan hóa phạm vi và cấu trúc sổ tay dùng chung, nhóm minh họa dưới đây một trang sổ tay tham chiếu tổng hợp các nhóm thuật ngữ, tương ứng nội dung chi tiết tại Bảng 3.2:</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3E">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539963" cy="3095625"/>
            <wp:effectExtent b="0" l="0" r="0" t="0"/>
            <wp:docPr id="337" name="image20.png" descr="Image: image20.png"/>
            <a:graphic>
              <a:graphicData uri="http://schemas.openxmlformats.org/drawingml/2006/picture">
                <pic:pic>
                  <pic:nvPicPr>
                    <pic:cNvPr id="0" name="image20.png"/>
                    <pic:cNvPicPr preferRelativeResize="0"/>
                  </pic:nvPicPr>
                  <pic:blipFill>
                    <a:blip r:embed="rId30"/>
                    <a:srcRect b="13333" l="0" r="7779" t="0"/>
                    <a:stretch>
                      <a:fillRect/>
                    </a:stretch>
                  </pic:blipFill>
                  <pic:spPr>
                    <a:xfrm>
                      <a:off x="0" y="0"/>
                      <a:ext cx="3539963" cy="309562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3F">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3.2: Sổ tay thuật ngữ và quy chuẩn nghiệp vụ (ST-NV-01)</w:t>
      </w:r>
      <w:r w:rsidDel="00000000" w:rsidR="00000000" w:rsidRPr="00000000">
        <w:rPr>
          <w:rFonts w:ascii="Times New Roman" w:hAnsi="Times New Roman"/>
          <w:i/>
          <w:color w:val="000000"/>
          <w:sz w:val="21"/>
          <w:rtl w:val="0"/>
        </w:rPr>
      </w:r>
    </w:p>
    <w:p w:rsidR="00000000" w:rsidDel="00000000" w:rsidP="00000000" w:rsidRDefault="00000000" w:rsidRPr="00000000" w14:paraId="0000014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cấu trúc Bảng 3.2, 2026.</w:t>
      </w:r>
      <w:r w:rsidDel="00000000" w:rsidR="00000000" w:rsidRPr="00000000">
        <w:rPr>
          <w:rFonts w:ascii="Times New Roman" w:hAnsi="Times New Roman"/>
          <w:i/>
          <w:color w:val="000000"/>
          <w:sz w:val="19"/>
          <w:rtl w:val="0"/>
        </w:rPr>
      </w:r>
    </w:p>
    <w:p w:rsidR="00000000" w:rsidDel="00000000" w:rsidP="00000000" w:rsidRDefault="00000000" w:rsidRPr="00000000" w14:paraId="00000141">
      <w:pPr>
        <w:pStyle w:val="Heading3"/>
        <w:keepNext/>
        <w:pageBreakBefore w:val="0"/>
        <w:spacing w:after="100" w:before="220" w:line="360" w:lineRule="auto"/>
        <w:jc w:val="left"/>
        <w:rPr/>
      </w:pPr>
      <w:r>
        <w:rPr>
          <w:rFonts w:ascii="Times New Roman" w:hAnsi="Times New Roman"/>
          <w:color w:val="000000"/>
        </w:rPr>
        <w:t>3.1.5. Biểu mẫu và chứng từ</w:t>
      </w:r>
    </w:p>
    <w:p w:rsidR="00000000" w:rsidDel="00000000" w:rsidP="00000000" w:rsidRDefault="00000000" w:rsidRPr="00000000" w14:paraId="00000142">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Trên cơ sở rà soát dữ liệu, chứng từ và thông tin luân chuyển giữa các bước trong quy trình — phiếu yêu cầu tạo đơn đối với nhóm tiếp nhận đơn hàng; OTP, chữ ký điện tử, ảnh giao hàng và eBook trạng thái đối với nhóm giao hàng và xác nhận; phiếu yêu cầu hoàn trả và biên bản đối chiếu nhập kho/HTMS đối với nhóm hoàn trả; khiếu nại/ticket CRM và biên bản xử lý đối với nhóm CSKH; vận đơn có phí COD và danh sách đối soát, xác nhận chuyển tiền đối với nhóm thu phí COD; hồ sơ đăng ký và hợp đồng nguyên tắc đối với nhóm đối tác vận tải; phiếu tuyển dụng, kết quả thi/test và hồ sơ đào tạo đối với nhóm tuyển dụng - đào tạo — nhóm đề xuất chuẩn hóa 07 biểu mẫu nghiệp vụ tương ứng, bao phủ toàn bộ các nhóm quy trình được mô tả tại Hình 2.1. Mục tiêu là giúp mô hình hóa BPMN đầy đủ và chính xác các luồng dữ liệu, chứng từ trao đổi giữa các tác nhân. Nội dung chi tiết của từng biểu mẫu được trình bày dưới đây.</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Tiếp nhận đơn hàng, dùng thu thập yêu cầu tạo đơn và phiếu bưu gửi ngay từ bước tiếp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0" name="image15.png" descr="Image: image15.png"/>
            <a:graphic>
              <a:graphicData uri="http://schemas.openxmlformats.org/drawingml/2006/picture">
                <pic:pic>
                  <pic:nvPicPr>
                    <pic:cNvPr id="0" name="image15.png"/>
                    <pic:cNvPicPr preferRelativeResize="0"/>
                  </pic:nvPicPr>
                  <pic:blipFill>
                    <a:blip r:embed="rId31"/>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5">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3.3: Phiếu yêu cầu tạo đơn (BM-TNĐH-01)</w:t>
      </w:r>
      <w:r w:rsidDel="00000000" w:rsidR="00000000" w:rsidRPr="00000000">
        <w:rPr>
          <w:rFonts w:ascii="Times New Roman" w:hAnsi="Times New Roman"/>
          <w:i/>
          <w:color w:val="000000"/>
          <w:sz w:val="21"/>
          <w:rtl w:val="0"/>
        </w:rPr>
      </w:r>
    </w:p>
    <w:p w:rsidR="00000000" w:rsidDel="00000000" w:rsidP="00000000" w:rsidRDefault="00000000" w:rsidRPr="00000000" w14:paraId="00000146">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4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Giao hàng và xác nhận, tổng hợp OTP, chữ ký điện tử, ảnh giao hàng và eBook trạng thái làm bằng chứng giao nhận: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3474720"/>
            <wp:effectExtent b="0" l="0" r="0" t="0"/>
            <wp:docPr id="311" name="image8.png" descr="Image: image8.png"/>
            <a:graphic>
              <a:graphicData uri="http://schemas.openxmlformats.org/drawingml/2006/picture">
                <pic:pic>
                  <pic:nvPicPr>
                    <pic:cNvPr id="0" name="image8.png"/>
                    <pic:cNvPicPr preferRelativeResize="0"/>
                  </pic:nvPicPr>
                  <pic:blipFill>
                    <a:blip r:embed="rId32"/>
                    <a:srcRect b="0" l="0" r="0" t="0"/>
                    <a:stretch>
                      <a:fillRect/>
                    </a:stretch>
                  </pic:blipFill>
                  <pic:spPr>
                    <a:xfrm>
                      <a:off x="0" y="0"/>
                      <a:ext cx="3474720" cy="347472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9">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3.4: Biên bản giao hàng và xác nhận (BM-GH-01)</w:t>
      </w:r>
      <w:r w:rsidDel="00000000" w:rsidR="00000000" w:rsidRPr="00000000">
        <w:rPr>
          <w:rFonts w:ascii="Times New Roman" w:hAnsi="Times New Roman"/>
          <w:i/>
          <w:color w:val="000000"/>
          <w:sz w:val="21"/>
          <w:rtl w:val="0"/>
        </w:rPr>
      </w:r>
    </w:p>
    <w:p w:rsidR="00000000" w:rsidDel="00000000" w:rsidP="00000000" w:rsidRDefault="00000000" w:rsidRPr="00000000" w14:paraId="0000014A">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Hoàn trả, ghi nhận lý do hoàn trả và căn cứ đối chiếu nhập kho/HTMS:</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4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3028469"/>
            <wp:effectExtent b="0" l="0" r="0" t="0"/>
            <wp:docPr id="312" name="image4.png" descr="Image: image4.png"/>
            <a:graphic>
              <a:graphicData uri="http://schemas.openxmlformats.org/drawingml/2006/picture">
                <pic:pic>
                  <pic:nvPicPr>
                    <pic:cNvPr id="0" name="image4.png"/>
                    <pic:cNvPicPr preferRelativeResize="0"/>
                  </pic:nvPicPr>
                  <pic:blipFill>
                    <a:blip r:embed="rId33"/>
                    <a:srcRect b="12891" l="0" r="0" t="0"/>
                    <a:stretch>
                      <a:fillRect/>
                    </a:stretch>
                  </pic:blipFill>
                  <pic:spPr>
                    <a:xfrm>
                      <a:off x="0" y="0"/>
                      <a:ext cx="3476625" cy="3028469"/>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4D">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3.5: Phiếu yêu cầu hoàn trả (BM-HT-01)</w:t>
      </w:r>
      <w:r w:rsidDel="00000000" w:rsidR="00000000" w:rsidRPr="00000000">
        <w:rPr>
          <w:rFonts w:ascii="Times New Roman" w:hAnsi="Times New Roman"/>
          <w:i/>
          <w:color w:val="000000"/>
          <w:sz w:val="21"/>
          <w:rtl w:val="0"/>
        </w:rPr>
      </w:r>
    </w:p>
    <w:p w:rsidR="00000000" w:rsidDel="00000000" w:rsidP="00000000" w:rsidRDefault="00000000" w:rsidRPr="00000000" w14:paraId="0000014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4F">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CSKH, ghi nhận khiếu nại (ticket CRM) và biên bản xử lý kèm chứng từ bổ sung:</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0">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0578"/>
            <wp:effectExtent b="0" l="0" r="0" t="0"/>
            <wp:docPr id="313" name="image10.png" descr="Image: image10.png"/>
            <a:graphic>
              <a:graphicData uri="http://schemas.openxmlformats.org/drawingml/2006/picture">
                <pic:pic>
                  <pic:nvPicPr>
                    <pic:cNvPr id="0" name="image10.png"/>
                    <pic:cNvPicPr preferRelativeResize="0"/>
                  </pic:nvPicPr>
                  <pic:blipFill>
                    <a:blip r:embed="rId34"/>
                    <a:srcRect b="14556" l="0" r="0" t="0"/>
                    <a:stretch>
                      <a:fillRect/>
                    </a:stretch>
                  </pic:blipFill>
                  <pic:spPr>
                    <a:xfrm>
                      <a:off x="0" y="0"/>
                      <a:ext cx="3476625" cy="2970578"/>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1">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3.6: Phiếu tiếp nhận khiếu nại CSKH (BM-CSKH-01)</w:t>
      </w:r>
      <w:r w:rsidDel="00000000" w:rsidR="00000000" w:rsidRPr="00000000">
        <w:rPr>
          <w:rFonts w:ascii="Times New Roman" w:hAnsi="Times New Roman"/>
          <w:i/>
          <w:color w:val="000000"/>
          <w:sz w:val="21"/>
          <w:rtl w:val="0"/>
        </w:rPr>
      </w:r>
    </w:p>
    <w:p w:rsidR="00000000" w:rsidDel="00000000" w:rsidP="00000000" w:rsidRDefault="00000000" w:rsidRPr="00000000" w14:paraId="00000152">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3">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Thu phí COD, tổng hợp vận đơn có phí COD và danh sách đối soát, xác nhận chuyển tiền: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4">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79623"/>
            <wp:effectExtent b="0" l="0" r="0" t="0"/>
            <wp:docPr id="314" name="image14.png" descr="Image: image14.png"/>
            <a:graphic>
              <a:graphicData uri="http://schemas.openxmlformats.org/drawingml/2006/picture">
                <pic:pic>
                  <pic:nvPicPr>
                    <pic:cNvPr id="0" name="image14.png"/>
                    <pic:cNvPicPr preferRelativeResize="0"/>
                  </pic:nvPicPr>
                  <pic:blipFill>
                    <a:blip r:embed="rId35"/>
                    <a:srcRect b="14296" l="0" r="0" t="0"/>
                    <a:stretch>
                      <a:fillRect/>
                    </a:stretch>
                  </pic:blipFill>
                  <pic:spPr>
                    <a:xfrm>
                      <a:off x="0" y="0"/>
                      <a:ext cx="3476625" cy="2979623"/>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5">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3.7: Biên bản đối soát COD (BM-COD-01)</w:t>
      </w:r>
      <w:r w:rsidDel="00000000" w:rsidR="00000000" w:rsidRPr="00000000">
        <w:rPr>
          <w:rFonts w:ascii="Times New Roman" w:hAnsi="Times New Roman"/>
          <w:i/>
          <w:color w:val="000000"/>
          <w:sz w:val="21"/>
          <w:rtl w:val="0"/>
        </w:rPr>
      </w:r>
    </w:p>
    <w:p w:rsidR="00000000" w:rsidDel="00000000" w:rsidP="00000000" w:rsidRDefault="00000000" w:rsidRPr="00000000" w14:paraId="00000156">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rsidR="00000000" w:rsidDel="00000000" w:rsidP="00000000" w:rsidRDefault="00000000" w:rsidRPr="00000000" w14:paraId="00000157">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Đối tác vận tải, tập hợp phiếu đăng ký, hồ sơ pháp lý và tờ trình, hợp đồng nguyên tắc:</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8">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4720" cy="4343400"/>
            <wp:effectExtent b="0" l="0" r="0" t="0"/>
            <wp:docPr id="315" name="image13.png" descr="Image: image13.png"/>
            <a:graphic>
              <a:graphicData uri="http://schemas.openxmlformats.org/drawingml/2006/picture">
                <pic:pic>
                  <pic:nvPicPr>
                    <pic:cNvPr id="0" name="image13.png"/>
                    <pic:cNvPicPr preferRelativeResize="0"/>
                  </pic:nvPicPr>
                  <pic:blipFill>
                    <a:blip r:embed="rId36"/>
                    <a:srcRect b="0" l="0" r="0" t="0"/>
                    <a:stretch>
                      <a:fillRect/>
                    </a:stretch>
                  </pic:blipFill>
                  <pic:spPr>
                    <a:xfrm>
                      <a:off x="0" y="0"/>
                      <a:ext cx="3474720" cy="4343400"/>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9">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3.8: Hồ sơ đăng ký hợp tác vận tải (HS-VT-01)</w:t>
      </w:r>
      <w:r w:rsidDel="00000000" w:rsidR="00000000" w:rsidRPr="00000000">
        <w:rPr>
          <w:rFonts w:ascii="Times New Roman" w:hAnsi="Times New Roman"/>
          <w:i/>
          <w:color w:val="000000"/>
          <w:sz w:val="21"/>
          <w:rtl w:val="0"/>
        </w:rPr>
      </w:r>
    </w:p>
    <w:p w:rsidR="00000000" w:rsidDel="00000000" w:rsidP="00000000" w:rsidRDefault="00000000" w:rsidRPr="00000000" w14:paraId="0000015A">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đề xuất xây dựng, minh họa theo dữ liệu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5B">
      <w:pPr>
        <w:spacing w:after="120" w:before="1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6"/>
          <w:rtl w:val="0"/>
        </w:rPr>
        <w:t xml:space="preserve">Biểu mẫu tương ứng với nhóm quy trình Tuyển dụng - đào tạo, ghi nhận phiếu tuyển dụng, kết quả thi/test và hồ sơ đào tạo:</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5C">
      <w:pPr>
        <w:spacing w:after="0" w:before="80" w:line="276" w:lineRule="auto"/>
        <w:jc w:val="center"/>
        <w:rPr/>
      </w:pPr>
      <w:r w:rsidDel="00000000" w:rsidR="00000000" w:rsidRPr="00000000">
        <w:rPr>
          <w:rFonts w:ascii="Times New Roman" w:cs="Times New Roman" w:eastAsia="Times New Roman" w:hAnsi="Times New Roman"/>
          <w:color w:val="000000"/>
        </w:rPr>
        <w:drawing>
          <wp:inline distB="0" distT="0" distL="0" distR="0">
            <wp:extent cx="3476625" cy="2962275"/>
            <wp:effectExtent b="0" l="0" r="0" t="0"/>
            <wp:docPr id="316" name="image18.png" descr="Image: image18.png"/>
            <a:graphic>
              <a:graphicData uri="http://schemas.openxmlformats.org/drawingml/2006/picture">
                <pic:pic>
                  <pic:nvPicPr>
                    <pic:cNvPr id="0" name="image18.png"/>
                    <pic:cNvPicPr preferRelativeResize="0"/>
                  </pic:nvPicPr>
                  <pic:blipFill>
                    <a:blip r:embed="rId37"/>
                    <a:srcRect b="14795" l="0" r="0" t="0"/>
                    <a:stretch>
                      <a:fillRect/>
                    </a:stretch>
                  </pic:blipFill>
                  <pic:spPr>
                    <a:xfrm>
                      <a:off x="0" y="0"/>
                      <a:ext cx="3476625" cy="2962275"/>
                    </a:xfrm>
                    <a:prstGeom prst="rect"/>
                    <a:ln/>
                  </pic:spPr>
                </pic:pic>
              </a:graphicData>
            </a:graphic>
          </wp:inline>
        </w:drawing>
      </w:r>
      <w:r w:rsidDel="00000000" w:rsidR="00000000" w:rsidRPr="00000000">
        <w:rPr>
          <w:rFonts w:ascii="Times New Roman" w:hAnsi="Times New Roman"/>
          <w:color w:val="000000"/>
          <w:rtl w:val="0"/>
        </w:rPr>
      </w:r>
    </w:p>
    <w:p w:rsidR="00000000" w:rsidDel="00000000" w:rsidP="00000000" w:rsidRDefault="00000000" w:rsidRPr="00000000" w14:paraId="0000015D">
      <w:pPr>
        <w:pStyle w:val="Caption"/>
        <w:spacing w:after="6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Hình 3.9: Phiếu tuyển dụng và đào tạo (BM-TDDT-01)</w:t>
      </w:r>
      <w:r w:rsidDel="00000000" w:rsidR="00000000" w:rsidRPr="00000000">
        <w:rPr>
          <w:rFonts w:ascii="Times New Roman" w:hAnsi="Times New Roman"/>
          <w:i/>
          <w:color w:val="000000"/>
          <w:sz w:val="21"/>
          <w:rtl w:val="0"/>
        </w:rPr>
      </w:r>
    </w:p>
    <w:p w:rsidR="00000000" w:rsidDel="00000000" w:rsidP="00000000" w:rsidRDefault="00000000" w:rsidRPr="00000000" w14:paraId="0000015E">
      <w:pPr>
        <w:spacing w:after="200" w:before="0" w:line="276" w:lineRule="auto"/>
        <w:jc w:val="center"/>
        <w:rPr/>
      </w:pPr>
      <w:r>
        <w:rPr>
          <w:rFonts w:ascii="Times New Roman" w:hAnsi="Times New Roman"/>
          <w:color w:val="000000"/>
        </w:rPr>
        <w:t>Nguồn: Nhóm đề xuất xây dựng dựa trên mục Hồ sơ và biểu mẫu, hồ sơ và nội dung tổng hợp của nhóm, 2026.</w:t>
      </w:r>
    </w:p>
    <w:p>
      <w:pPr>
        <w:pStyle w:val="Heading2"/>
        <w:keepNext/>
        <w:pageBreakBefore w:val="0"/>
        <w:jc w:val="left"/>
      </w:pPr>
      <w:r>
        <w:rPr>
          <w:rFonts w:ascii="Times New Roman" w:hAnsi="Times New Roman"/>
          <w:color w:val="000000"/>
        </w:rPr>
        <w:t>3.2. Workshop và trao đổi nghiệp vụ</w:t>
      </w:r>
    </w:p>
    <w:p>
      <w:pPr>
        <w:pStyle w:val="Heading3"/>
        <w:keepNext/>
        <w:pageBreakBefore w:val="0"/>
        <w:jc w:val="left"/>
      </w:pPr>
      <w:r>
        <w:rPr>
          <w:rFonts w:ascii="Times New Roman" w:hAnsi="Times New Roman"/>
          <w:color w:val="000000"/>
        </w:rPr>
        <w:t>3.2.1. Mục tiêu</w:t>
      </w:r>
    </w:p>
    <w:p>
      <w:pPr>
        <w:pStyle w:val="SkeletonPlaceholder"/>
        <w:jc w:val="left"/>
      </w:pPr>
      <w:r>
        <w:rPr>
          <w:rFonts w:ascii="Times New Roman" w:hAnsi="Times New Roman"/>
          <w:i/>
          <w:color w:val="7F7F7F"/>
          <w:sz w:val="22"/>
          <w:highlight w:val="yellow"/>
        </w:rPr>
        <w:t>[Mục tiêu làm rõ trình tự, actor, ngoại lệ, dữ liệu và điểm cần xác nhận]</w:t>
      </w:r>
    </w:p>
    <w:p>
      <w:pPr>
        <w:pStyle w:val="Heading3"/>
        <w:keepNext/>
        <w:pageBreakBefore w:val="0"/>
        <w:jc w:val="left"/>
      </w:pPr>
      <w:r>
        <w:rPr>
          <w:rFonts w:ascii="Times New Roman" w:hAnsi="Times New Roman"/>
          <w:color w:val="000000"/>
        </w:rPr>
        <w:t>3.2.2. Thành phần tham dự</w:t>
      </w:r>
    </w:p>
    <w:p>
      <w:pPr>
        <w:pStyle w:val="SkeletonPlaceholder"/>
      </w:pPr>
      <w:r>
        <w:rPr>
          <w:rFonts w:ascii="Times New Roman" w:hAnsi="Times New Roman"/>
          <w:i/>
          <w:color w:val="7F7F7F"/>
          <w:sz w:val="22"/>
          <w:highlight w:val="yellow"/>
        </w:rPr>
        <w:t>Bảng [số]: [Bổ sung tên bảng 48 cho nội dung 3.2.2. Thành phần tham dự]</w:t>
      </w:r>
    </w:p>
    <w:tbl>
      <w:tblPr>
        <w:tblW w:type="auto" w:w="0"/>
        <w:jc w:val="center"/>
        <w:tblLayout w:type="autofit"/>
        <w:tblLook w:firstColumn="1" w:firstRow="1" w:lastColumn="0" w:lastRow="0" w:noHBand="0" w:noVBand="1" w:val="04A0"/>
      </w:tblPr>
      <w:tblGrid>
        <w:gridCol w:w="3009"/>
        <w:gridCol w:w="3009"/>
        <w:gridCol w:w="3009"/>
      </w:tblGrid>
      <w:tr>
        <w:trPr>
          <w:tblHeader w:val="true"/>
        </w:trPr>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Đơn vị/bộ phận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Vai trò</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Nội dung tham gia</w:t>
            </w:r>
          </w:p>
        </w:tc>
      </w:tr>
      <w:tr>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3009"/>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r>
    </w:tbl>
    <w:p>
      <w:pPr>
        <w:pStyle w:val="Heading3"/>
        <w:keepNext/>
        <w:pageBreakBefore w:val="0"/>
        <w:jc w:val="left"/>
      </w:pPr>
      <w:r>
        <w:rPr>
          <w:rFonts w:ascii="Times New Roman" w:hAnsi="Times New Roman"/>
          <w:color w:val="000000"/>
        </w:rPr>
        <w:t>3.2.3. Kịch bản và kết quả ghi nhận</w:t>
      </w:r>
    </w:p>
    <w:p>
      <w:pPr>
        <w:pStyle w:val="SkeletonPlaceholder"/>
      </w:pPr>
      <w:r>
        <w:rPr>
          <w:rFonts w:ascii="Times New Roman" w:hAnsi="Times New Roman"/>
          <w:i/>
          <w:color w:val="7F7F7F"/>
          <w:sz w:val="22"/>
          <w:highlight w:val="yellow"/>
        </w:rPr>
        <w:t>Bảng [số]: [Bổ sung tên bảng 49 cho nội dung 3.2.3. Kịch bản và kết quả ghi nhận]</w:t>
      </w:r>
    </w:p>
    <w:tbl>
      <w:tblPr>
        <w:tblW w:type="auto" w:w="0"/>
        <w:jc w:val="center"/>
        <w:tblLayout w:type="autofit"/>
        <w:tblLook w:firstColumn="1" w:firstRow="1" w:lastColumn="0" w:lastRow="0" w:noHBand="0" w:noVBand="1" w:val="04A0"/>
      </w:tblPr>
      <w:tblGrid>
        <w:gridCol w:w="2256"/>
        <w:gridCol w:w="2256"/>
        <w:gridCol w:w="2256"/>
        <w:gridCol w:w="2256"/>
      </w:tblGrid>
      <w:tr>
        <w:trPr>
          <w:tblHeader w:val="true"/>
        </w:trPr>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Thời điểm</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Nội dung trao đổi</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Kết quả mong đợi</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shd w:fill="D9D9D9"/>
          </w:tcPr>
          <w:p>
            <w:pPr>
              <w:spacing w:before="0" w:after="40" w:line="240" w:lineRule="auto"/>
              <w:jc w:val="center"/>
            </w:pPr>
            <w:r>
              <w:rPr>
                <w:rFonts w:ascii="Times New Roman" w:hAnsi="Times New Roman"/>
                <w:b/>
                <w:color w:val="000000"/>
                <w:sz w:val="21"/>
              </w:rPr>
              <w:t>Tài liệu ghi nhận</w:t>
            </w:r>
          </w:p>
        </w:tc>
      </w:tr>
      <w:tr>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c>
          <w:tcPr>
            <w:tcW w:type="dxa" w:w="2256"/>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Mar>
              <w:top w:w="90" w:type="dxa"/>
              <w:start w:w="100" w:type="dxa"/>
              <w:bottom w:w="90" w:type="dxa"/>
              <w:end w:w="100" w:type="dxa"/>
            </w:tcMar>
          </w:tcPr>
          <w:p>
            <w:pPr>
              <w:pStyle w:val="SkeletonPlaceholder"/>
              <w:spacing w:before="0" w:after="40" w:line="240" w:lineRule="auto"/>
              <w:jc w:val="left"/>
            </w:pPr>
            <w:r>
              <w:rPr>
                <w:rFonts w:ascii="Times New Roman" w:hAnsi="Times New Roman"/>
                <w:b w:val="0"/>
                <w:i/>
                <w:color w:val="7F7F7F"/>
                <w:sz w:val="22"/>
                <w:highlight w:val="yellow"/>
              </w:rPr>
              <w:t>[Chưa điền]</w:t>
            </w:r>
          </w:p>
        </w:tc>
      </w:tr>
    </w:tbl>
    <w:p w:rsidR="00000000" w:rsidDel="00000000" w:rsidP="00000000" w:rsidRDefault="00000000" w:rsidRPr="00000000" w14:paraId="00000164">
      <w:pPr>
        <w:pStyle w:val="Heading2"/>
        <w:keepNext/>
        <w:pageBreakBefore w:val="0"/>
        <w:spacing w:after="140" w:before="280" w:line="360" w:lineRule="auto"/>
        <w:jc w:val="left"/>
        <w:rPr/>
      </w:pPr>
      <w:r>
        <w:rPr>
          <w:rFonts w:ascii="Times New Roman" w:hAnsi="Times New Roman"/>
          <w:color w:val="000000"/>
        </w:rPr>
        <w:t>3.3. Phỏng vấn</w:t>
      </w:r>
    </w:p>
    <w:p w:rsidR="00000000" w:rsidDel="00000000" w:rsidP="00000000" w:rsidRDefault="00000000" w:rsidRPr="00000000" w14:paraId="00000165">
      <w:pPr>
        <w:spacing w:after="120" w:before="0" w:line="276" w:lineRule="auto"/>
        <w:ind w:firstLine="432"/>
        <w:jc w:val="both"/>
        <w:rPr/>
      </w:pPr>
      <w:r>
        <w:rPr>
          <w:rFonts w:ascii="Times New Roman" w:hAnsi="Times New Roman"/>
          <w:color w:val="000000"/>
        </w:rPr>
        <w:t>Phỏng vấn được sử dụng trong thiết kế phương pháp nhằm khám phá vấn đề, nguyên nhân, ngoại lệ và điểm nghẽn thực tế trong quá trình vận hành thông qua ý kiến và trải nghiệm của các bên liên quan, qua đó đối chiếu với thông tin đã thu thập từ tài liệu ở Mục 3.1. Nhóm xây dựng hai bộ câu hỏi song song: câu hỏi định tính (khai thác vấn đề, nguyên nhân, ngoại lệ) và câu hỏi định lượng (đo lường hiệu suất thời gian, chất lượng và dữ liệu vận hành bằng số liệu cụ thể).</w:t>
      </w:r>
    </w:p>
    <w:p w:rsidR="00000000" w:rsidDel="00000000" w:rsidP="00000000" w:rsidRDefault="00000000" w:rsidRPr="00000000" w14:paraId="00000166">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3.3 Đối chiếu actor, BPMN và đối tượng phỏng vấn</w:t>
      </w:r>
      <w:r w:rsidDel="00000000" w:rsidR="00000000" w:rsidRPr="00000000">
        <w:rPr>
          <w:rFonts w:ascii="Times New Roman" w:hAnsi="Times New Roman"/>
          <w:i/>
          <w:color w:val="000000"/>
          <w:sz w:val="21"/>
          <w:rtl w:val="0"/>
        </w:rPr>
      </w:r>
    </w:p>
    <w:tbl>
      <w:tblPr>
        <w:tblStyle w:val="Table4"/>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1700"/>
        <w:gridCol w:w="1700"/>
        <w:gridCol w:w="1900"/>
        <w:gridCol w:w="1900"/>
        <w:gridCol w:w="1826"/>
        <w:tblGridChange w:id="0">
          <w:tblGrid>
            <w:gridCol w:w="1700"/>
            <w:gridCol w:w="1700"/>
            <w:gridCol w:w="1900"/>
            <w:gridCol w:w="1900"/>
            <w:gridCol w:w="18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Actor - tác nhân trong mô tả</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Pool/Lane trên BPMN</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phỏng vấn / minh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Chức vụ / nguồn dữ liệu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Kết quả đối chiếu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“Người giao hàng” – Giao hàng tận nơi &amp; xác nhận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khu vực nội thành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“Bưu cục Viettel Post” – Tiếp nhận đơn hàng /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khai thác tại bưu cục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viên, Khối triển khai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CSKH” – Chăm sóc khách hàng / Quản lý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xử lý khiếu nại và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CSKH, Khối kinh doanh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“Bộ phận Kế toán” – Xử lý thu hộ COD &amp; chuyển tiền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phụ trách đối soát COD</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 toán viên,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7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 (HR)</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Lane “Phòng Nhân sự” – Quy trình báo cáo và tuyển dụng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Chuyên viên nhân sự, Khối tham mưu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Phù hợp – actor và pool/lane thống nhất</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85">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đối chiếu từ sơ đồ tổ chức (Hình 1.2) và kiến trúc quy trình (Chương 2).</w:t>
      </w:r>
      <w:r w:rsidDel="00000000" w:rsidR="00000000" w:rsidRPr="00000000">
        <w:rPr>
          <w:rFonts w:ascii="Times New Roman" w:hAnsi="Times New Roman"/>
          <w:i/>
          <w:color w:val="000000"/>
          <w:sz w:val="19"/>
          <w:rtl w:val="0"/>
        </w:rPr>
      </w:r>
    </w:p>
    <w:p w:rsidR="00000000" w:rsidDel="00000000" w:rsidP="00000000" w:rsidRDefault="00000000" w:rsidRPr="00000000" w14:paraId="00000186">
      <w:pPr>
        <w:pStyle w:val="Heading3"/>
        <w:keepNext/>
        <w:pageBreakBefore w:val="0"/>
        <w:spacing w:after="100" w:before="220" w:line="360" w:lineRule="auto"/>
        <w:jc w:val="left"/>
        <w:rPr/>
      </w:pPr>
      <w:r>
        <w:rPr>
          <w:rFonts w:ascii="Times New Roman" w:hAnsi="Times New Roman"/>
          <w:color w:val="000000"/>
        </w:rPr>
        <w:t>3.3.1. Câu hỏi định tính</w:t>
      </w:r>
    </w:p>
    <w:p w:rsidR="00000000" w:rsidDel="00000000" w:rsidP="00000000" w:rsidRDefault="00000000" w:rsidRPr="00000000" w14:paraId="00000187">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tính gồm 10 câu, trong đó 5 câu có cấu trúc với các phương án trả lời cho trước và 5 câu mở không có cấu trúc nhằm khai thác sâu các tình huống ngoại lệ.</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188">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3.4 Danh sách câu hỏi định tính</w:t>
      </w:r>
      <w:r w:rsidDel="00000000" w:rsidR="00000000" w:rsidRPr="00000000">
        <w:rPr>
          <w:rFonts w:ascii="Times New Roman" w:hAnsi="Times New Roman"/>
          <w:i/>
          <w:color w:val="000000"/>
          <w:sz w:val="21"/>
          <w:rtl w:val="0"/>
        </w:rPr>
      </w:r>
    </w:p>
    <w:tbl>
      <w:tblPr>
        <w:tblStyle w:val="Table5"/>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B">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C">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D">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tìm hiểu</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8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 – Các bước thực tế có tuân theo BPMN khi cập nhật kết quả giao hàng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mức độ tuân thủ quy trình BPMN đã mô hình hóa</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 – Những trường thông tin nào bắt buộc ở mỗi lần tạo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các trường dữ liệu bắt buộc khi tiếp nhận đơn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 – WMS có đáp ứng việc kiểm tra ngoại quan hàng hoàn không?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mức độ đáp ứng của hệ thống WMS cho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 – Khó khăn lớn nhất khi xác minh vỡ hỏng / mất mát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9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Tìm hiểu nguyên nhân phổ biến gây khó khăn khi xác minh vỡ hỏng, mất mát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 – Đào tạo hội nhập được xử lý ra sao khi nhân viên chưa đạt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nhận quy trình xử lý khi nhân viên chưa đạt yêu cầu đào tạo lần đầu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 – 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 – 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A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được mô hình hóa trong BPMN tiếp nhận đơn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 – 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 – 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 – 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B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C0">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1C1">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3.5 Ghi nhận câu trả lời cho câu hỏi định tính có cấu trúc</w:t>
      </w:r>
      <w:r w:rsidDel="00000000" w:rsidR="00000000" w:rsidRPr="00000000">
        <w:rPr>
          <w:rFonts w:ascii="Times New Roman" w:hAnsi="Times New Roman"/>
          <w:i/>
          <w:color w:val="000000"/>
          <w:sz w:val="21"/>
          <w:rtl w:val="0"/>
        </w:rPr>
      </w:r>
    </w:p>
    <w:tbl>
      <w:tblPr>
        <w:tblStyle w:val="Table6"/>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Tuân thủ đúng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Sai khâu được kiểm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thống nhất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C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Mỗi trường/quy định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Đúng lớp quản tác chung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Kết hợp chung + riêng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Đáp ứng tốt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Một phần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Chưa đáp ứng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D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Thiếu ảnh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Khó theo dõi số</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hệ thống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Hướng dẫn một buổi</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Đào tạo + đánh giá + bổ sung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Đánh giá một lần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E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1F2">
      <w:pPr>
        <w:spacing w:after="120" w:before="60" w:line="276" w:lineRule="auto"/>
        <w:ind w:firstLine="432"/>
        <w:jc w:val="both"/>
        <w:rPr/>
      </w:pPr>
      <w:r>
        <w:rPr>
          <w:rFonts w:ascii="Times New Roman" w:hAnsi="Times New Roman"/>
          <w:color w:val="000000"/>
        </w:rPr>
        <w:t>Ghi chú: Các cột “Câu trả lời thực tế”, “Giả thuyết”, “Nghi ngờ / chưa kiểm chứng” và “Minh chứng xác nhận” sẽ được nhóm hoàn thiện sau khi có kết quả phỏng vấn hoặc ghi nhận xác minh theo bộ câu hỏi tại Bảng 3.4.</w:t>
      </w:r>
    </w:p>
    <w:p w:rsidR="00000000" w:rsidDel="00000000" w:rsidP="00000000" w:rsidRDefault="00000000" w:rsidRPr="00000000" w14:paraId="000001F3">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3.6 Danh sách câu hỏi định tính không có cấu trúc</w:t>
      </w:r>
      <w:r w:rsidDel="00000000" w:rsidR="00000000" w:rsidRPr="00000000">
        <w:rPr>
          <w:rFonts w:ascii="Times New Roman" w:hAnsi="Times New Roman"/>
          <w:i/>
          <w:color w:val="000000"/>
          <w:sz w:val="21"/>
          <w:rtl w:val="0"/>
        </w:rPr>
      </w:r>
    </w:p>
    <w:tbl>
      <w:tblPr>
        <w:tblStyle w:val="Table7"/>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Hãy kể về một ca giao khó gần đây và cách anh/chị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Khối Kinh doanh / Kho vận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Khai thác tình huống ngoại lệ thực tế trong khâu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âm / biên bản phỏng vấn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1F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Ngoại lệ nào không được thể hiện trên sơ đồ?</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Phát hiện ngoại lệ chưa mô hình hóa trong BPMN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âm / biên bản phỏng vấn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xác minh nguyên nhân hoàn trả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giao hàng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chính trong quy trình hoàn trả</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âm / biên bản phỏng vấn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Giải pháp nào giúp rút ngắn thời gian đối soát giữa CSKH và Kho?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Thu thập đề xuất cải tiến cho khâu đối soát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âm / biên bản phỏng vấn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DT-10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Điểm nghẽn lớn nhất khi phối hợp tuyển dụng – đào tạo là gì?</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0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Phòng Nhân sự</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Xác định điểm nghẽn phối hợp giữa tuyển dụng và đào tạo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âm / biên bản phỏng vấn (dự kiến)</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12">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13">
      <w:pPr>
        <w:pStyle w:val="Heading3"/>
        <w:keepNext/>
        <w:pageBreakBefore w:val="0"/>
        <w:spacing w:after="100" w:before="220" w:line="360" w:lineRule="auto"/>
        <w:jc w:val="left"/>
        <w:rPr/>
      </w:pPr>
      <w:r>
        <w:rPr>
          <w:rFonts w:ascii="Times New Roman" w:hAnsi="Times New Roman"/>
          <w:color w:val="000000"/>
        </w:rPr>
        <w:t>3.3.2. Câu hỏi định lượng</w:t>
      </w:r>
    </w:p>
    <w:p w:rsidR="00000000" w:rsidDel="00000000" w:rsidP="00000000" w:rsidRDefault="00000000" w:rsidRPr="00000000" w14:paraId="00000214">
      <w:pPr>
        <w:spacing w:after="120" w:before="0" w:line="276" w:lineRule="auto"/>
        <w:ind w:firstLine="432"/>
        <w:jc w:val="both"/>
        <w:rPr/>
      </w:pPr>
      <w:r w:rsidDel="00000000" w:rsidR="00000000" w:rsidRPr="00000000">
        <w:rPr>
          <w:rFonts w:ascii="Times New Roman" w:cs="Times New Roman" w:eastAsia="Times New Roman" w:hAnsi="Times New Roman"/>
          <w:b w:val="0"/>
          <w:i w:val="0"/>
          <w:color w:val="000000"/>
          <w:sz w:val="24"/>
          <w:szCs w:val="26"/>
          <w:rtl w:val="0"/>
        </w:rPr>
        <w:t xml:space="preserve">Bộ câu hỏi định lượng sử dụng cùng một khung đo cho thời gian, chất lượng và dữ liệu vận hành, gồm 10 câu (5 câu có cấu trúc, 5 câu không có cấu trúc) nhằm đo lường hiệu suất và mức độ của vấn đề bằng số liệu cụ thể, làm cơ sở đánh giá quy trình, so sánh với KPI và đề xuất cải tiến.</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215">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3.7 Danh sách câu hỏi định lượng</w:t>
      </w:r>
      <w:r w:rsidDel="00000000" w:rsidR="00000000" w:rsidRPr="00000000">
        <w:rPr>
          <w:rFonts w:ascii="Times New Roman" w:hAnsi="Times New Roman"/>
          <w:i/>
          <w:color w:val="000000"/>
          <w:sz w:val="21"/>
          <w:rtl w:val="0"/>
        </w:rPr>
      </w:r>
    </w:p>
    <w:tbl>
      <w:tblPr>
        <w:tblStyle w:val="Table8"/>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500"/>
        <w:gridCol w:w="3200"/>
        <w:gridCol w:w="1400"/>
        <w:gridCol w:w="1700"/>
        <w:gridCol w:w="2226"/>
        <w:tblGridChange w:id="0">
          <w:tblGrid>
            <w:gridCol w:w="500"/>
            <w:gridCol w:w="3200"/>
            <w:gridCol w:w="1400"/>
            <w:gridCol w:w="1700"/>
            <w:gridCol w:w="22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7">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ID /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8">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Loại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9">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A">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xác nhận / giá trị cần đo</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 (PT) – Thời gian xử lý một activity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1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xử lý (Processing Time) trung bình của một hoạt động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 (WT) – 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 (CT) – Từ khi nhận yêu cầu đến khi gửi xác nhận mất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tổng thời gian chu kỳ (Cycle Time) của một yêu cầu</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 (FPY) – Bao nhiêu yêu cầu hợp lệ ngay từ lần đầu?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đạt ngay lần đầu (First Pass Yield)</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2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 (Waybill) – Tỷ lệ tạo vận đơn thành công là bao nhiêu?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Nhân viên tiếp nhận đơn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tỷ lệ tạo vận đơn thành công</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 (Theo kênh) – 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từng kênh (Web / App / Quầy)</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 (Nhóm lỗi) – 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 lỗi</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3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 (Queue) – Yêu cầu bị tồn trong hàng chờ bao lâu trước khi đóng?</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Có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Đo thời gian tồn đọng trong hàng chờ xử lý</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 (Chi phí) – 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loại ngoại lệ</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 (Giới hạn điểm) – PT, WT, CT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Không cấu trúc</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 theo khung giờ</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4D">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rsidR="00000000" w:rsidDel="00000000" w:rsidP="00000000" w:rsidRDefault="00000000" w:rsidRPr="00000000" w14:paraId="0000024E">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3.8 Ghi nhận câu trả lời cho câu hỏi định lượng có cấu trúc</w:t>
      </w:r>
      <w:r w:rsidDel="00000000" w:rsidR="00000000" w:rsidRPr="00000000">
        <w:rPr>
          <w:rFonts w:ascii="Times New Roman" w:hAnsi="Times New Roman"/>
          <w:i/>
          <w:color w:val="000000"/>
          <w:sz w:val="21"/>
          <w:rtl w:val="0"/>
        </w:rPr>
      </w:r>
    </w:p>
    <w:tbl>
      <w:tblPr>
        <w:tblStyle w:val="Table9"/>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1100"/>
        <w:gridCol w:w="1100"/>
        <w:gridCol w:w="1100"/>
        <w:gridCol w:w="1100"/>
        <w:gridCol w:w="1100"/>
        <w:gridCol w:w="1200"/>
        <w:gridCol w:w="1626"/>
        <w:tblGridChange w:id="0">
          <w:tblGrid>
            <w:gridCol w:w="700"/>
            <w:gridCol w:w="1100"/>
            <w:gridCol w:w="1100"/>
            <w:gridCol w:w="1100"/>
            <w:gridCol w:w="1100"/>
            <w:gridCol w:w="1100"/>
            <w:gridCol w:w="1200"/>
            <w:gridCol w:w="16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4F">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0">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A</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B</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Phương án C</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trả lời thực tế</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Giả thuyết</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Nghi ngờ / chưa kiểm chứng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6">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xác nhận</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DL-01</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5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DL-03</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5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5–8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10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DL-04</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85–90%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6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DL-05</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80–90%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80%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DL-08</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Dưới 1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Từ 3–7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Trên 7 phút</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7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7F">
      <w:pPr>
        <w:spacing w:after="120" w:before="60" w:line="276" w:lineRule="auto"/>
        <w:ind w:firstLine="432"/>
        <w:jc w:val="both"/>
        <w:rPr/>
      </w:pPr>
      <w:r w:rsidDel="00000000" w:rsidR="00000000" w:rsidRPr="00000000">
        <w:rPr>
          <w:rFonts w:ascii="Times New Roman" w:cs="Times New Roman" w:eastAsia="Times New Roman" w:hAnsi="Times New Roman"/>
          <w:b w:val="0"/>
          <w:i w:val="0"/>
          <w:iCs w:val="1"/>
          <w:color w:val="000000"/>
          <w:sz w:val="24"/>
          <w:szCs w:val="22"/>
          <w:rtl w:val="0"/>
        </w:rPr>
        <w:t xml:space="preserve">Ghi chú: Các cột “Câu trả lời thực tế”, “Giả thuyết”, “Nghi ngờ / chưa kiểm chứng” và “Minh chứng xác nhận” sẽ được nhóm hoàn thiện sau khi tiến hành khảo sát định lượng thực tế theo bộ câu hỏi tại Bảng 3.7.</w:t>
      </w:r>
      <w:r w:rsidDel="00000000" w:rsidR="00000000" w:rsidRPr="00000000">
        <w:rPr>
          <w:rFonts w:ascii="Times New Roman" w:hAnsi="Times New Roman"/>
          <w:b w:val="0"/>
          <w:i w:val="0"/>
          <w:color w:val="000000"/>
          <w:sz w:val="24"/>
          <w:rtl w:val="0"/>
        </w:rPr>
      </w:r>
    </w:p>
    <w:p w:rsidR="00000000" w:rsidDel="00000000" w:rsidP="00000000" w:rsidRDefault="00000000" w:rsidRPr="00000000" w14:paraId="00000280">
      <w:pPr>
        <w:pStyle w:val="Caption"/>
        <w:spacing w:after="200" w:before="80" w:line="276" w:lineRule="auto"/>
        <w:jc w:val="center"/>
        <w:rPr/>
      </w:pPr>
      <w:r w:rsidDel="00000000" w:rsidR="00000000" w:rsidRPr="00000000">
        <w:rPr>
          <w:rFonts w:ascii="Times New Roman" w:cs="Times New Roman" w:eastAsia="Times New Roman" w:hAnsi="Times New Roman"/>
          <w:b w:val="1"/>
          <w:bCs w:val="1"/>
          <w:i/>
          <w:iCs w:val="1"/>
          <w:color w:val="000000"/>
          <w:sz w:val="21"/>
          <w:szCs w:val="24"/>
          <w:rtl w:val="0"/>
        </w:rPr>
        <w:t xml:space="preserve">Bảng 3.9 Danh sách câu hỏi định lượng không có cấu trúc</w:t>
      </w:r>
      <w:r w:rsidDel="00000000" w:rsidR="00000000" w:rsidRPr="00000000">
        <w:rPr>
          <w:rFonts w:ascii="Times New Roman" w:hAnsi="Times New Roman"/>
          <w:i/>
          <w:color w:val="000000"/>
          <w:sz w:val="21"/>
          <w:rtl w:val="0"/>
        </w:rPr>
      </w:r>
    </w:p>
    <w:tbl>
      <w:tblPr>
        <w:tblStyle w:val="Table10"/>
        <w:tblW w:w="9026.0" w:type="dxa"/>
        <w:jc w:val="center"/>
        <w:tblBorders>
          <w:top w:color="000000" w:space="0" w:sz="8" w:val="single"/>
          <w:left w:color="000000" w:space="0" w:sz="8" w:val="single"/>
          <w:bottom w:color="000000" w:space="0" w:sz="8" w:val="single"/>
          <w:right w:color="000000" w:space="0" w:sz="8" w:val="single"/>
          <w:insideH w:color="000000" w:space="0" w:sz="8" w:val="single"/>
          <w:insideV w:color="000000" w:space="0" w:sz="8" w:val="single"/>
        </w:tblBorders>
        <w:tblLayout w:type="autofit"/>
        <w:tblLook w:val="0600"/>
      </w:tblPr>
      <w:tblGrid>
        <w:gridCol w:w="700"/>
        <w:gridCol w:w="2800"/>
        <w:gridCol w:w="1600"/>
        <w:gridCol w:w="2200"/>
        <w:gridCol w:w="1726"/>
        <w:tblGridChange w:id="0">
          <w:tblGrid>
            <w:gridCol w:w="700"/>
            <w:gridCol w:w="2800"/>
            <w:gridCol w:w="1600"/>
            <w:gridCol w:w="2200"/>
            <w:gridCol w:w="1726"/>
          </w:tblGrid>
        </w:tblGridChange>
      </w:tblGrid>
      <w:tr>
        <w:trPr>
          <w:cantSplit w:val="1"/>
          <w:tblHeader w:val="1"/>
        </w:trPr>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1">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STT 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2">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Câu hỏi</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3">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Đối tượng áp dụng</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4">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Mục tiêu tìm hiểu</w:t>
            </w:r>
            <w:r w:rsidDel="00000000" w:rsidR="00000000" w:rsidRPr="00000000">
              <w:rPr>
                <w:rFonts w:ascii="Times New Roman" w:hAnsi="Times New Roman"/>
                <w:b/>
                <w:color w:val="000000"/>
                <w:sz w:val="21"/>
                <w:rtl w:val="0"/>
              </w:rPr>
            </w:r>
          </w:p>
        </w:tc>
        <w:tc>
          <w:tcPr>
            <w:shd w:fill="D9D9D9"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5">
            <w:pPr>
              <w:spacing w:after="40" w:before="0" w:line="240" w:lineRule="auto"/>
              <w:jc w:val="center"/>
              <w:rPr/>
            </w:pPr>
            <w:r w:rsidDel="00000000" w:rsidR="00000000" w:rsidRPr="00000000">
              <w:rPr>
                <w:rFonts w:ascii="Times New Roman" w:cs="Times New Roman" w:eastAsia="Times New Roman" w:hAnsi="Times New Roman"/>
                <w:b/>
                <w:bCs w:val="1"/>
                <w:color w:val="000000"/>
                <w:sz w:val="21"/>
                <w:szCs w:val="22"/>
                <w:rtl w:val="0"/>
              </w:rPr>
              <w:t xml:space="preserve">Minh chứng / Ghi chú</w:t>
            </w:r>
            <w:r w:rsidDel="00000000" w:rsidR="00000000" w:rsidRPr="00000000">
              <w:rPr>
                <w:rFonts w:ascii="Times New Roman" w:hAnsi="Times New Roman"/>
                <w:b/>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DL-02</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Thời gian chờ của hồ sơ hoặc phản hồi là bao lâu?</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 /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 xử lý</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Nhật ký hệ thống OMS/CRM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DL-06</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và WT biến động theo Web, App và Quầy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PT, WT theo kênh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8F">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Nhật ký hệ thống OMS/CRM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0">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DL-07</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1">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Lỗi địa chỉ, COD, hàng hóa và dịch vụ có tần suất ra sao?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2">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CSKH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3">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nhóm lỗi – số lỗi – tỷ lệ</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4">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Báo cáo chất lượng CSKH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5">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DL-09</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6">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Chi phí CSKH và xử lý lại thay đổi theo loại ngoại lệ thế nào?</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7">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Bộ phận Kế toán</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8">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9">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Dữ liệu đối soát kế toán (dự kiến)</w:t>
            </w:r>
            <w:r w:rsidDel="00000000" w:rsidR="00000000" w:rsidRPr="00000000">
              <w:rPr>
                <w:rFonts w:ascii="Times New Roman" w:hAnsi="Times New Roman"/>
                <w:b w:val="0"/>
                <w:color w:val="000000"/>
                <w:sz w:val="21"/>
                <w:rtl w:val="0"/>
              </w:rPr>
            </w:r>
          </w:p>
        </w:tc>
      </w:tr>
      <w:tr>
        <w:trPr>
          <w:cantSplit w:val="1"/>
          <w:tblHeader w:val="0"/>
        </w:trPr>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A">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DL-10</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B">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PT, WT, CTV và tỷ lệ thành công phân tán thế nào theo giờ?</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C">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Điều phối vận hành</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D">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Ghi nhận timestamp – percentile – volume</w:t>
            </w:r>
            <w:r w:rsidDel="00000000" w:rsidR="00000000" w:rsidRPr="00000000">
              <w:rPr>
                <w:rFonts w:ascii="Times New Roman" w:hAnsi="Times New Roman"/>
                <w:b w:val="0"/>
                <w:color w:val="000000"/>
                <w:sz w:val="21"/>
                <w:rtl w:val="0"/>
              </w:rPr>
            </w:r>
          </w:p>
        </w:tc>
        <w:tc>
          <w:tcPr>
            <w:shd w:fill="auto" w:val="clear"/>
            <w:tcMar>
              <w:top w:w="90" w:type="dxa"/>
              <w:left w:w="80.0" w:type="dxa"/>
              <w:bottom w:w="90" w:type="dxa"/>
              <w:right w:w="80.0" w:type="dxa"/>
              <w:start w:w="100" w:type="dxa"/>
              <w:end w:w="100" w:type="dxa"/>
            </w:tcMar>
            <w:vAlign w:val="center"/>
            <w:tcBorders>
              <w:top w:val="single" w:sz="6" w:space="0" w:color="A6A6A6"/>
              <w:left w:val="single" w:sz="6" w:space="0" w:color="A6A6A6"/>
              <w:bottom w:val="single" w:sz="6" w:space="0" w:color="A6A6A6"/>
              <w:right w:val="single" w:sz="6" w:space="0" w:color="A6A6A6"/>
              <w:insideH w:val="single" w:sz="6" w:space="0" w:color="A6A6A6"/>
              <w:insideV w:val="single" w:sz="6" w:space="0" w:color="A6A6A6"/>
            </w:tcBorders>
          </w:tcPr>
          <w:p w:rsidR="00000000" w:rsidDel="00000000" w:rsidP="00000000" w:rsidRDefault="00000000" w:rsidRPr="00000000" w14:paraId="0000029E">
            <w:pPr>
              <w:spacing w:after="40" w:before="0" w:line="240" w:lineRule="auto"/>
              <w:jc w:val="left"/>
              <w:rPr/>
            </w:pPr>
            <w:r w:rsidDel="00000000" w:rsidR="00000000" w:rsidRPr="00000000">
              <w:rPr>
                <w:rFonts w:ascii="Times New Roman" w:cs="Times New Roman" w:eastAsia="Times New Roman" w:hAnsi="Times New Roman"/>
                <w:b w:val="0"/>
                <w:color w:val="000000"/>
                <w:sz w:val="21"/>
                <w:szCs w:val="22"/>
                <w:rtl w:val="0"/>
              </w:rPr>
              <w:t xml:space="preserve">Nhật ký hệ thống TMS (dự kiến)</w:t>
            </w:r>
            <w:r w:rsidDel="00000000" w:rsidR="00000000" w:rsidRPr="00000000">
              <w:rPr>
                <w:rFonts w:ascii="Times New Roman" w:hAnsi="Times New Roman"/>
                <w:b w:val="0"/>
                <w:color w:val="000000"/>
                <w:sz w:val="21"/>
                <w:rtl w:val="0"/>
              </w:rPr>
            </w:r>
          </w:p>
        </w:tc>
      </w:tr>
    </w:tbl>
    <w:p w:rsidR="00000000" w:rsidDel="00000000" w:rsidP="00000000" w:rsidRDefault="00000000" w:rsidRPr="00000000" w14:paraId="0000029F">
      <w:pPr>
        <w:spacing w:after="200" w:before="0" w:line="276" w:lineRule="auto"/>
        <w:jc w:val="center"/>
        <w:rPr/>
      </w:pPr>
      <w:r w:rsidDel="00000000" w:rsidR="00000000" w:rsidRPr="00000000">
        <w:rPr>
          <w:rFonts w:ascii="Times New Roman" w:cs="Times New Roman" w:eastAsia="Times New Roman" w:hAnsi="Times New Roman"/>
          <w:i/>
          <w:iCs w:val="1"/>
          <w:color w:val="000000"/>
          <w:sz w:val="19"/>
          <w:szCs w:val="22"/>
          <w:rtl w:val="0"/>
        </w:rPr>
        <w:t xml:space="preserve">Nguồn: Nhóm xây dựng dựa trên khảo sát nghiệp vụ Viettel Post, 2026.</w:t>
      </w:r>
      <w:r w:rsidDel="00000000" w:rsidR="00000000" w:rsidRPr="00000000">
        <w:rPr>
          <w:rFonts w:ascii="Times New Roman" w:hAnsi="Times New Roman"/>
          <w:i/>
          <w:color w:val="000000"/>
          <w:sz w:val="19"/>
          <w:rtl w:val="0"/>
        </w:rPr>
      </w:r>
    </w:p>
    <w:p>
      <w:pPr>
        <w:pStyle w:val="Heading1"/>
        <w:keepNext/>
        <w:pageBreakBefore/>
        <w:jc w:val="left"/>
      </w:pPr>
      <w:r>
        <w:rPr>
          <w:rFonts w:ascii="Times New Roman" w:hAnsi="Times New Roman"/>
          <w:b/>
          <w:i w:val="0"/>
          <w:color w:val="000000"/>
          <w:sz w:val="32"/>
        </w:rPr>
        <w:t>CHƯƠNG 4. MÔ HÌNH HÓA QUY TRÌNH BẰNG BPMN</w:t>
      </w:r>
    </w:p>
    <w:p>
      <w:pPr>
        <w:pStyle w:val="Heading2"/>
        <w:keepNext/>
      </w:pPr>
      <w:r>
        <w:rPr>
          <w:rFonts w:ascii="Times New Roman" w:hAnsi="Times New Roman"/>
          <w:color w:val="000000"/>
        </w:rPr>
        <w:t>4.1. Quy ước mô hình hóa BPMN</w:t>
      </w:r>
    </w:p>
    <w:p>
      <w:pPr>
        <w:pStyle w:val="SkeletonPlaceholder"/>
      </w:pPr>
      <w:r>
        <w:rPr>
          <w:rFonts w:ascii="Times New Roman" w:hAnsi="Times New Roman"/>
          <w:i/>
          <w:color w:val="7F7F7F"/>
          <w:sz w:val="22"/>
          <w:highlight w:val="yellow"/>
        </w:rPr>
        <w:t>[Chỉ trình bày ký hiệu và quy ước BPMN; không lặp phương pháp nghiên cứu ở Chương 3.]</w:t>
      </w:r>
    </w:p>
    <w:p>
      <w:pPr>
        <w:pStyle w:val="Heading2"/>
        <w:keepNext/>
      </w:pPr>
      <w:r>
        <w:rPr>
          <w:rFonts w:ascii="Times New Roman" w:hAnsi="Times New Roman"/>
          <w:color w:val="000000"/>
        </w:rPr>
        <w:t>4.2. Mô hình hóa các quy trình quản lý</w:t>
      </w:r>
    </w:p>
    <w:p>
      <w:pPr>
        <w:pStyle w:val="Heading3"/>
        <w:keepNext/>
      </w:pPr>
      <w:r>
        <w:rPr>
          <w:rFonts w:ascii="Times New Roman" w:hAnsi="Times New Roman"/>
          <w:color w:val="000000"/>
        </w:rPr>
        <w:t>4.2.1. Quản trị vòng đời đối tác cung ứng phương tiện vận tải</w:t>
      </w:r>
    </w:p>
    <w:p>
      <w:pPr>
        <w:pStyle w:val="SkeletonPlaceholder"/>
      </w:pPr>
      <w:r>
        <w:rPr>
          <w:rFonts w:ascii="Times New Roman" w:hAnsi="Times New Roman"/>
          <w:i/>
          <w:color w:val="7F7F7F"/>
          <w:sz w:val="22"/>
          <w:highlight w:val="yellow"/>
        </w:rPr>
        <w:t>[Các actor và trình tự nghiệp vụ của Quản trị vòng đời đối tác cung ứng phương tiện vận tải đã được mô tả tại Mục 2.2.1.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4.2.1.1.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Quản trị vòng đời đối tác cung ứng phương tiện vận tải.]</w:t>
      </w:r>
    </w:p>
    <w:p>
      <w:pPr>
        <w:pStyle w:val="Heading4"/>
        <w:keepNext/>
      </w:pPr>
      <w:r>
        <w:rPr>
          <w:rFonts w:ascii="Times New Roman" w:hAnsi="Times New Roman"/>
          <w:color w:val="000000"/>
        </w:rPr>
        <w:t>4.2.1.2.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Quản trị vòng đời đối tác cung ứng phương tiện vận tải</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4.2.1.3.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Quản trị vòng đời đối tác cung ứng phương tiện vận tải</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4.2.1.4.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Quản trị vòng đời đối tác cung ứng phương tiện vận tải.]</w:t>
      </w:r>
    </w:p>
    <w:p>
      <w:pPr>
        <w:pStyle w:val="Heading3"/>
        <w:keepNext/>
      </w:pPr>
      <w:r>
        <w:rPr>
          <w:rFonts w:ascii="Times New Roman" w:hAnsi="Times New Roman"/>
          <w:color w:val="000000"/>
        </w:rPr>
        <w:t>4.2.2. Quản lý hiệu suất hoạt động vận hành</w:t>
      </w:r>
    </w:p>
    <w:p>
      <w:pPr>
        <w:pStyle w:val="SkeletonPlaceholder"/>
      </w:pPr>
      <w:r>
        <w:rPr>
          <w:rFonts w:ascii="Times New Roman" w:hAnsi="Times New Roman"/>
          <w:i/>
          <w:color w:val="7F7F7F"/>
          <w:sz w:val="22"/>
          <w:highlight w:val="yellow"/>
        </w:rPr>
        <w:t>[Các actor và trình tự nghiệp vụ của Quản lý hiệu suất hoạt động vận hành đã được mô tả tại Mục 2.2.2.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4.2.2.1.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Quản lý hiệu suất hoạt động vận hành.]</w:t>
      </w:r>
    </w:p>
    <w:p>
      <w:pPr>
        <w:pStyle w:val="Heading4"/>
        <w:keepNext/>
      </w:pPr>
      <w:r>
        <w:rPr>
          <w:rFonts w:ascii="Times New Roman" w:hAnsi="Times New Roman"/>
          <w:color w:val="000000"/>
        </w:rPr>
        <w:t>4.2.2.2.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Quản lý hiệu suất hoạt động vận hành</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4.2.2.3.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Quản lý hiệu suất hoạt động vận hành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4.2.2.4.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Quản lý hiệu suất hoạt động vận hành.]</w:t>
      </w:r>
    </w:p>
    <w:p>
      <w:pPr>
        <w:pStyle w:val="Heading2"/>
        <w:keepNext/>
      </w:pPr>
      <w:r>
        <w:rPr>
          <w:rFonts w:ascii="Times New Roman" w:hAnsi="Times New Roman"/>
          <w:color w:val="000000"/>
        </w:rPr>
        <w:t>4.3. Mô hình hóa các quy trình cốt lõi</w:t>
      </w:r>
    </w:p>
    <w:p>
      <w:pPr>
        <w:pStyle w:val="Heading3"/>
        <w:keepNext/>
      </w:pPr>
      <w:r>
        <w:rPr>
          <w:rFonts w:ascii="Times New Roman" w:hAnsi="Times New Roman"/>
          <w:color w:val="000000"/>
        </w:rPr>
        <w:t>4.3.1. Giao hàng tận nơi và xác nhận</w:t>
      </w:r>
    </w:p>
    <w:p>
      <w:pPr>
        <w:pStyle w:val="SkeletonPlaceholder"/>
      </w:pPr>
      <w:r>
        <w:rPr>
          <w:rFonts w:ascii="Times New Roman" w:hAnsi="Times New Roman"/>
          <w:i/>
          <w:color w:val="7F7F7F"/>
          <w:sz w:val="22"/>
          <w:highlight w:val="yellow"/>
        </w:rPr>
        <w:t>[Các actor và trình tự nghiệp vụ của Giao hàng tận nơi và xác nhận đã được mô tả tại Mục 2.3.6.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4.3.1.1.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Giao hàng tận nơi và xác nhận.]</w:t>
      </w:r>
    </w:p>
    <w:p>
      <w:pPr>
        <w:pStyle w:val="Heading4"/>
        <w:keepNext/>
      </w:pPr>
      <w:r>
        <w:rPr>
          <w:rFonts w:ascii="Times New Roman" w:hAnsi="Times New Roman"/>
          <w:color w:val="000000"/>
        </w:rPr>
        <w:t>4.3.1.2.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Giao hàng tận nơi và xác nhận</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4.3.1.3.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Giao hàng tận nơi và xác nhận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4.3.1.4.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Giao hàng tận nơi và xác nhận.]</w:t>
      </w:r>
    </w:p>
    <w:p>
      <w:pPr>
        <w:pStyle w:val="Heading3"/>
        <w:keepNext/>
      </w:pPr>
      <w:r>
        <w:rPr>
          <w:rFonts w:ascii="Times New Roman" w:hAnsi="Times New Roman"/>
          <w:color w:val="000000"/>
        </w:rPr>
        <w:t>4.3.2. Thu hộ COD và chuyển tiền</w:t>
      </w:r>
    </w:p>
    <w:p>
      <w:pPr>
        <w:pStyle w:val="SkeletonPlaceholder"/>
      </w:pPr>
      <w:r>
        <w:rPr>
          <w:rFonts w:ascii="Times New Roman" w:hAnsi="Times New Roman"/>
          <w:i/>
          <w:color w:val="7F7F7F"/>
          <w:sz w:val="22"/>
          <w:highlight w:val="yellow"/>
        </w:rPr>
        <w:t>[Các actor và trình tự nghiệp vụ của Thu hộ COD và chuyển tiền đã được mô tả tại Mục 2.3.7.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4.3.2.1.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Thu hộ COD và chuyển tiền.]</w:t>
      </w:r>
    </w:p>
    <w:p>
      <w:pPr>
        <w:pStyle w:val="Heading4"/>
        <w:keepNext/>
      </w:pPr>
      <w:r>
        <w:rPr>
          <w:rFonts w:ascii="Times New Roman" w:hAnsi="Times New Roman"/>
          <w:color w:val="000000"/>
        </w:rPr>
        <w:t>4.3.2.2.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Thu hộ COD và chuyển tiền</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4.3.2.3.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Thu hộ COD và chuyển tiền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4.3.2.4.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Thu hộ COD và chuyển tiền.]</w:t>
      </w:r>
    </w:p>
    <w:p>
      <w:pPr>
        <w:pStyle w:val="Heading2"/>
        <w:keepNext/>
      </w:pPr>
      <w:r>
        <w:rPr>
          <w:rFonts w:ascii="Times New Roman" w:hAnsi="Times New Roman"/>
          <w:color w:val="000000"/>
        </w:rPr>
        <w:t>4.4. Mô hình hóa các quy trình hỗ trợ</w:t>
      </w:r>
    </w:p>
    <w:p>
      <w:pPr>
        <w:pStyle w:val="Heading3"/>
        <w:keepNext/>
      </w:pPr>
      <w:r>
        <w:rPr>
          <w:rFonts w:ascii="Times New Roman" w:hAnsi="Times New Roman"/>
          <w:color w:val="000000"/>
        </w:rPr>
        <w:t>4.4.1. Tuyển dụng và đào tạo nhân sự</w:t>
      </w:r>
    </w:p>
    <w:p>
      <w:pPr>
        <w:pStyle w:val="SkeletonPlaceholder"/>
      </w:pPr>
      <w:r>
        <w:rPr>
          <w:rFonts w:ascii="Times New Roman" w:hAnsi="Times New Roman"/>
          <w:i/>
          <w:color w:val="7F7F7F"/>
          <w:sz w:val="22"/>
          <w:highlight w:val="yellow"/>
        </w:rPr>
        <w:t>[Các actor và trình tự nghiệp vụ của Tuyển dụng và đào tạo nhân sự đã được mô tả tại Mục 2.4.1.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4.4.1.1.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Tuyển dụng và đào tạo nhân sự.]</w:t>
      </w:r>
    </w:p>
    <w:p>
      <w:pPr>
        <w:pStyle w:val="Heading4"/>
        <w:keepNext/>
      </w:pPr>
      <w:r>
        <w:rPr>
          <w:rFonts w:ascii="Times New Roman" w:hAnsi="Times New Roman"/>
          <w:color w:val="000000"/>
        </w:rPr>
        <w:t>4.4.1.2.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Tuyển dụng và đào tạo nhân sự</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4.4.1.3.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Tuyển dụng và đào tạo nhân sự</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4.4.1.4.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Tuyển dụng và đào tạo nhân sự.]</w:t>
      </w:r>
    </w:p>
    <w:p>
      <w:pPr>
        <w:pStyle w:val="Heading3"/>
        <w:keepNext/>
      </w:pPr>
      <w:r>
        <w:rPr>
          <w:rFonts w:ascii="Times New Roman" w:hAnsi="Times New Roman"/>
          <w:color w:val="000000"/>
        </w:rPr>
        <w:t>4.4.2. Chăm sóc khách hàng</w:t>
      </w:r>
    </w:p>
    <w:p>
      <w:pPr>
        <w:pStyle w:val="SkeletonPlaceholder"/>
      </w:pPr>
      <w:r>
        <w:rPr>
          <w:rFonts w:ascii="Times New Roman" w:hAnsi="Times New Roman"/>
          <w:i/>
          <w:color w:val="7F7F7F"/>
          <w:sz w:val="22"/>
          <w:highlight w:val="yellow"/>
        </w:rPr>
        <w:t>[Các actor và trình tự nghiệp vụ của Chăm sóc khách hàng đã được mô tả tại Mục 2.4.2. Phần này tập trung vào cách biểu diễn bằng BPMN, các điểm quyết định, luồng dữ liệu và các nhánh xử lý ngoại lệ.]</w:t>
      </w:r>
    </w:p>
    <w:p>
      <w:pPr>
        <w:pStyle w:val="Heading4"/>
        <w:keepNext/>
      </w:pPr>
      <w:r>
        <w:rPr>
          <w:rFonts w:ascii="Times New Roman" w:hAnsi="Times New Roman"/>
          <w:color w:val="000000"/>
        </w:rPr>
        <w:t>4.4.2.1. Phạm vi và mục đích mô hình</w:t>
      </w:r>
    </w:p>
    <w:p>
      <w:pPr>
        <w:pStyle w:val="SkeletonPlaceholder"/>
      </w:pPr>
      <w:r>
        <w:rPr>
          <w:rFonts w:ascii="Times New Roman" w:hAnsi="Times New Roman"/>
          <w:i/>
          <w:color w:val="7F7F7F"/>
          <w:sz w:val="22"/>
          <w:highlight w:val="yellow"/>
        </w:rPr>
        <w:t>[Nêu điểm bắt đầu, điểm kết thúc, mục đích biểu diễn và phạm vi mô hình của Chăm sóc khách hàng.]</w:t>
      </w:r>
    </w:p>
    <w:p>
      <w:pPr>
        <w:pStyle w:val="Heading4"/>
        <w:keepNext/>
      </w:pPr>
      <w:r>
        <w:rPr>
          <w:rFonts w:ascii="Times New Roman" w:hAnsi="Times New Roman"/>
          <w:color w:val="000000"/>
        </w:rPr>
        <w:t>4.4.2.2. Mô hình BPMN</w:t>
      </w:r>
    </w:p>
    <w:p>
      <w:pPr>
        <w:pStyle w:val="SkeletonPlaceholder"/>
      </w:pPr>
      <w:r>
        <w:rPr>
          <w:rFonts w:ascii="Times New Roman" w:hAnsi="Times New Roman"/>
          <w:i/>
          <w:color w:val="7F7F7F"/>
          <w:sz w:val="22"/>
          <w:highlight w:val="yellow"/>
        </w:rPr>
        <w:t>[Chèn sơ đồ BPMN As-Is]</w:t>
      </w:r>
    </w:p>
    <w:p>
      <w:pPr>
        <w:pStyle w:val="SkeletonPlaceholder"/>
      </w:pPr>
      <w:r>
        <w:rPr>
          <w:rFonts w:ascii="Times New Roman" w:hAnsi="Times New Roman"/>
          <w:i/>
          <w:color w:val="7F7F7F"/>
          <w:sz w:val="22"/>
          <w:highlight w:val="yellow"/>
        </w:rPr>
        <w:t>Hình [số]. Mô hình BPMN quy trình Chăm sóc khách hàng</w:t>
      </w:r>
    </w:p>
    <w:p>
      <w:pPr>
        <w:pStyle w:val="SkeletonPlaceholder"/>
      </w:pPr>
      <w:r>
        <w:rPr>
          <w:rFonts w:ascii="Times New Roman" w:hAnsi="Times New Roman"/>
          <w:i/>
          <w:color w:val="7F7F7F"/>
          <w:sz w:val="22"/>
          <w:highlight w:val="yellow"/>
        </w:rPr>
        <w:t>Nguồn: [Bổ sung nguồn BPMN]</w:t>
      </w:r>
    </w:p>
    <w:p>
      <w:pPr>
        <w:pStyle w:val="Heading4"/>
        <w:keepNext/>
      </w:pPr>
      <w:r>
        <w:rPr>
          <w:rFonts w:ascii="Times New Roman" w:hAnsi="Times New Roman"/>
          <w:color w:val="000000"/>
        </w:rPr>
        <w:t>4.4.2.3. Các điểm quyết định, luồng dữ liệu và ngoại lệ</w:t>
      </w:r>
    </w:p>
    <w:p>
      <w:pPr>
        <w:pStyle w:val="SkeletonPlaceholder"/>
      </w:pPr>
      <w:r>
        <w:rPr>
          <w:rFonts w:ascii="Times New Roman" w:hAnsi="Times New Roman"/>
          <w:i/>
          <w:color w:val="7F7F7F"/>
          <w:sz w:val="22"/>
          <w:highlight w:val="yellow"/>
        </w:rPr>
        <w:t>Bảng [số]: Các điểm quyết định, luồng dữ liệu và ngoại lệ của quy trình Chăm sóc khách hàng</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 hoặc điểm xử lý</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 nhánh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Dữ liệu hoặc hệ thống liên quan</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và cách xử lý</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4.4.2.4. Nhận xét mô hình</w:t>
      </w:r>
    </w:p>
    <w:p>
      <w:pPr>
        <w:pStyle w:val="SkeletonPlaceholder"/>
      </w:pPr>
      <w:r>
        <w:rPr>
          <w:rFonts w:ascii="Times New Roman" w:hAnsi="Times New Roman"/>
          <w:i/>
          <w:color w:val="7F7F7F"/>
          <w:sz w:val="22"/>
          <w:highlight w:val="yellow"/>
        </w:rPr>
        <w:t>[Nhận xét về đặc điểm mô hình, điểm phức tạp, nhánh ngoại lệ và liên hệ với phần phân tích của Chăm sóc khách hàng.]</w:t>
      </w:r>
    </w:p>
    <w:p>
      <w:pPr>
        <w:pStyle w:val="Heading2"/>
        <w:keepNext/>
      </w:pPr>
      <w:r>
        <w:rPr>
          <w:rFonts w:ascii="Times New Roman" w:hAnsi="Times New Roman"/>
          <w:color w:val="000000"/>
        </w:rPr>
        <w:t>4.5. Nhận xét tổng hợp về các mô hình BPMN</w:t>
      </w:r>
    </w:p>
    <w:p>
      <w:pPr>
        <w:pStyle w:val="SkeletonPlaceholder"/>
      </w:pPr>
      <w:r>
        <w:rPr>
          <w:rFonts w:ascii="Times New Roman" w:hAnsi="Times New Roman"/>
          <w:i/>
          <w:color w:val="7F7F7F"/>
          <w:sz w:val="22"/>
          <w:highlight w:val="yellow"/>
        </w:rPr>
        <w:t>Bảng [số]: [Bổ sung tên bảng 63 cho nội dung 4.5. Nhận xét tổng hợp về các mô hình BPMN]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Pool/Lane</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Luồng dữ liệu</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Ngoại lệ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Đặc điểm</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1"/>
        <w:keepNext/>
        <w:pageBreakBefore/>
        <w:jc w:val="left"/>
      </w:pPr>
      <w:r>
        <w:rPr>
          <w:rFonts w:ascii="Times New Roman" w:hAnsi="Times New Roman"/>
          <w:b/>
          <w:i w:val="0"/>
          <w:color w:val="000000"/>
          <w:sz w:val="32"/>
        </w:rPr>
        <w:t>CHƯƠNG 5. PHÂN TÍCH QUY TRÌNH</w:t>
      </w:r>
    </w:p>
    <w:p>
      <w:pPr>
        <w:pStyle w:val="Heading2"/>
        <w:keepNext/>
      </w:pPr>
      <w:r>
        <w:rPr>
          <w:rFonts w:ascii="Times New Roman" w:hAnsi="Times New Roman"/>
          <w:color w:val="000000"/>
        </w:rPr>
        <w:t>5.1. Cơ sở và phạm vi phân tích</w:t>
      </w:r>
    </w:p>
    <w:p>
      <w:pPr>
        <w:pStyle w:val="SkeletonPlaceholder"/>
      </w:pPr>
      <w:r>
        <w:rPr>
          <w:rFonts w:ascii="Times New Roman" w:hAnsi="Times New Roman"/>
          <w:i/>
          <w:color w:val="7F7F7F"/>
          <w:sz w:val="22"/>
          <w:highlight w:val="yellow"/>
        </w:rPr>
        <w:t>[Nêu phạm vi phân tích và định nghĩa một lần các tiêu chí VA, BVA, NVA, Move, Hold, Over-do, Why-Why, 5 Whys, PT, WT, CT, PCE/CTE, chỉ số chất lượng và chi phí. Kết quả cụ thể của từng quy trình được trình bày ở các mục 5.2 và 5.3.]</w:t>
      </w:r>
    </w:p>
    <w:p>
      <w:pPr>
        <w:pStyle w:val="Heading2"/>
        <w:keepNext/>
      </w:pPr>
      <w:r>
        <w:rPr>
          <w:rFonts w:ascii="Times New Roman" w:hAnsi="Times New Roman"/>
          <w:color w:val="000000"/>
        </w:rPr>
        <w:t>5.2. Phân tích quy trình Thu hộ COD và chuyển tiền</w:t>
      </w:r>
    </w:p>
    <w:p>
      <w:pPr>
        <w:pStyle w:val="Heading3"/>
        <w:keepNext/>
      </w:pPr>
      <w:r>
        <w:rPr>
          <w:rFonts w:ascii="Times New Roman" w:hAnsi="Times New Roman"/>
          <w:color w:val="000000"/>
        </w:rPr>
        <w:t>5.2.1. Bối cảnh và phạm vi phân tích</w:t>
      </w:r>
    </w:p>
    <w:p>
      <w:pPr>
        <w:pStyle w:val="SkeletonPlaceholder"/>
      </w:pPr>
      <w:r>
        <w:rPr>
          <w:rFonts w:ascii="Times New Roman" w:hAnsi="Times New Roman"/>
          <w:i/>
          <w:color w:val="7F7F7F"/>
          <w:sz w:val="22"/>
          <w:highlight w:val="yellow"/>
        </w:rPr>
        <w:t>[Dẫn chiếu mô tả Thu hộ COD và chuyển tiền tại Mục 2.3.7 và mô hình tại Mục 4.3.2; phần này chỉ xác định câu hỏi, dữ liệu và phạm vi phân tích, không lặp actor, bước và kết quả.]</w:t>
      </w:r>
    </w:p>
    <w:p>
      <w:pPr>
        <w:pStyle w:val="Heading3"/>
        <w:keepNext/>
      </w:pPr>
      <w:r>
        <w:rPr>
          <w:rFonts w:ascii="Times New Roman" w:hAnsi="Times New Roman"/>
          <w:color w:val="000000"/>
        </w:rPr>
        <w:t>5.2.2. Phân tích định tính</w:t>
      </w:r>
    </w:p>
    <w:p>
      <w:pPr>
        <w:pStyle w:val="Heading4"/>
        <w:keepNext/>
      </w:pPr>
      <w:r>
        <w:rPr>
          <w:rFonts w:ascii="Times New Roman" w:hAnsi="Times New Roman"/>
          <w:color w:val="000000"/>
        </w:rPr>
        <w:t>5.2.2.1. Phân tích giá trị gia tăng</w:t>
      </w:r>
    </w:p>
    <w:p>
      <w:pPr>
        <w:pStyle w:val="SkeletonPlaceholder"/>
      </w:pPr>
      <w:r>
        <w:rPr>
          <w:rFonts w:ascii="Times New Roman" w:hAnsi="Times New Roman"/>
          <w:i/>
          <w:color w:val="7F7F7F"/>
          <w:sz w:val="22"/>
          <w:highlight w:val="yellow"/>
        </w:rPr>
        <w:t>Bảng [số]: Tiêu chí phân loại VA, BVA và NVA</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giá trị</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Câu hỏi kiểm định theo phương pháp Dumas</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 và áp dụng thực tế</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Phân loại giá trị theo từng bước</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Phân loại giá trị</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VA/BVA/NVA của Thu hộ COD và chuyển tiền và nhận xét tổng số lượng, tỷ trọng từng loại giá trị.]</w:t>
      </w:r>
    </w:p>
    <w:p>
      <w:pPr>
        <w:pStyle w:val="Heading4"/>
        <w:keepNext/>
      </w:pPr>
      <w:r>
        <w:rPr>
          <w:rFonts w:ascii="Times New Roman" w:hAnsi="Times New Roman"/>
          <w:color w:val="000000"/>
        </w:rPr>
        <w:t>5.2.2.2. Phân tích lãng phí</w:t>
      </w:r>
    </w:p>
    <w:p>
      <w:pPr>
        <w:pStyle w:val="SkeletonPlaceholder"/>
      </w:pPr>
      <w:r>
        <w:rPr>
          <w:rFonts w:ascii="Times New Roman" w:hAnsi="Times New Roman"/>
          <w:i/>
          <w:color w:val="7F7F7F"/>
          <w:sz w:val="22"/>
          <w:highlight w:val="yellow"/>
        </w:rPr>
        <w:t>Bảng [số]: Nhận diện lãng phí trong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[Move/Hold/Over-do]</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phân tích lãng phí của Thu hộ COD và chuyển tiền; giải thích biểu hiện Move, Hold và Over-do theo các bước tham chiếu.]</w:t>
      </w:r>
    </w:p>
    <w:p>
      <w:pPr>
        <w:pStyle w:val="Heading4"/>
        <w:keepNext/>
      </w:pPr>
      <w:r>
        <w:rPr>
          <w:rFonts w:ascii="Times New Roman" w:hAnsi="Times New Roman"/>
          <w:color w:val="000000"/>
        </w:rPr>
        <w:t>5.2.2.3. Phân tích các bên liên quan</w:t>
      </w:r>
    </w:p>
    <w:p>
      <w:pPr>
        <w:pStyle w:val="SkeletonPlaceholder"/>
      </w:pPr>
      <w:r>
        <w:rPr>
          <w:rFonts w:ascii="Times New Roman" w:hAnsi="Times New Roman"/>
          <w:i/>
          <w:color w:val="7F7F7F"/>
          <w:sz w:val="22"/>
          <w:highlight w:val="yellow"/>
        </w:rPr>
        <w:t>Bảng [số]: Phân tích các bên liên quan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liên quan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 trong 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Mối quan tâm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 Yếu kém tiềm năng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đến hiệu năng quy trình</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5.2.2.4. Sổ theo dõi vấn đề</w:t>
      </w:r>
    </w:p>
    <w:p>
      <w:pPr>
        <w:pStyle w:val="SkeletonPlaceholder"/>
      </w:pPr>
      <w:r>
        <w:rPr>
          <w:rFonts w:ascii="Times New Roman" w:hAnsi="Times New Roman"/>
          <w:i/>
          <w:color w:val="7F7F7F"/>
          <w:sz w:val="22"/>
          <w:highlight w:val="yellow"/>
        </w:rPr>
        <w:t>Bảng [số]: Sổ theo dõi vấn đề</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Giả định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 đề xuất</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5.2.2.5. Phân tích nguyên nhân gốc rễ</w:t>
      </w:r>
    </w:p>
    <w:p>
      <w:pPr>
        <w:pStyle w:val="SkeletonPlaceholder"/>
      </w:pPr>
      <w:r>
        <w:rPr>
          <w:rFonts w:ascii="Times New Roman" w:hAnsi="Times New Roman"/>
          <w:i/>
          <w:color w:val="7F7F7F"/>
          <w:sz w:val="22"/>
          <w:highlight w:val="yellow"/>
        </w:rPr>
        <w:t>[Chọn vấn đề tiêu biểu của Thu hộ COD và chuyển tiền từ Issue register và trình bày mạch nguyên nhân - hệ quả bằng sơ đồ Why-Why.]</w:t>
      </w:r>
    </w:p>
    <w:p>
      <w:pPr>
        <w:pStyle w:val="Heading5"/>
        <w:keepNext/>
      </w:pPr>
      <w:r>
        <w:rPr>
          <w:rFonts w:ascii="Times New Roman" w:hAnsi="Times New Roman"/>
          <w:color w:val="000000"/>
        </w:rPr>
        <w:t>5.2.2.5.1. Vấn đề được lựa chọn</w:t>
      </w:r>
    </w:p>
    <w:p>
      <w:pPr>
        <w:pStyle w:val="SkeletonPlaceholder"/>
      </w:pPr>
      <w:r>
        <w:rPr>
          <w:rFonts w:ascii="Times New Roman" w:hAnsi="Times New Roman"/>
          <w:i/>
          <w:color w:val="7F7F7F"/>
          <w:sz w:val="22"/>
          <w:highlight w:val="yellow"/>
        </w:rPr>
        <w:t>[Nêu mã vấn đề, biểu hiện, phạm vi tác động và lý do chọn để truy nguyên nhân.]</w:t>
      </w:r>
    </w:p>
    <w:p>
      <w:pPr>
        <w:pStyle w:val="Heading5"/>
        <w:keepNext/>
      </w:pPr>
      <w:r>
        <w:rPr>
          <w:rFonts w:ascii="Times New Roman" w:hAnsi="Times New Roman"/>
          <w:color w:val="000000"/>
        </w:rPr>
        <w:t>5.2.2.5.2. Sơ đồ Why-Why</w:t>
      </w:r>
    </w:p>
    <w:p>
      <w:pPr>
        <w:pStyle w:val="SkeletonPlaceholder"/>
      </w:pPr>
      <w:r>
        <w:rPr>
          <w:rFonts w:ascii="Times New Roman" w:hAnsi="Times New Roman"/>
          <w:i/>
          <w:color w:val="7F7F7F"/>
          <w:sz w:val="22"/>
          <w:highlight w:val="yellow"/>
        </w:rPr>
        <w:t>[Chèn sơ đồ Why-Why của Thu hộ COD và chuyển tiền; mỗi quy trình phân tích phải có một sơ đồ riêng.]</w:t>
      </w:r>
    </w:p>
    <w:p>
      <w:pPr>
        <w:pStyle w:val="Heading5"/>
        <w:keepNext/>
      </w:pPr>
      <w:r>
        <w:rPr>
          <w:rFonts w:ascii="Times New Roman" w:hAnsi="Times New Roman"/>
          <w:color w:val="000000"/>
        </w:rPr>
        <w:t>5.2.2.5.3. Bảng phân tích 5 Whys</w:t>
      </w:r>
    </w:p>
    <w:p>
      <w:pPr>
        <w:pStyle w:val="SkeletonPlaceholder"/>
      </w:pPr>
      <w:r>
        <w:rPr>
          <w:rFonts w:ascii="Times New Roman" w:hAnsi="Times New Roman"/>
          <w:i/>
          <w:color w:val="7F7F7F"/>
          <w:sz w:val="22"/>
          <w:highlight w:val="yellow"/>
        </w:rPr>
        <w:t>Bảng [số]: Phân tích nguyên nhân gốc rễ theo 5 Whys</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Cấp độ phân tích 5 Why</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 nguyên nhân gốc rễ</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[Why 1]</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5.2.3. Phân tích định lượng</w:t>
      </w:r>
    </w:p>
    <w:p>
      <w:pPr>
        <w:pStyle w:val="Heading4"/>
        <w:keepNext/>
      </w:pPr>
      <w:r>
        <w:rPr>
          <w:rFonts w:ascii="Times New Roman" w:hAnsi="Times New Roman"/>
          <w:color w:val="000000"/>
        </w:rPr>
        <w:t>5.2.3.1. Phân tích thời gian</w:t>
      </w:r>
    </w:p>
    <w:p>
      <w:pPr>
        <w:pStyle w:val="SkeletonPlaceholder"/>
      </w:pPr>
      <w:r>
        <w:rPr>
          <w:rFonts w:ascii="Times New Roman" w:hAnsi="Times New Roman"/>
          <w:i/>
          <w:color w:val="7F7F7F"/>
          <w:sz w:val="22"/>
          <w:highlight w:val="yellow"/>
        </w:rPr>
        <w:t>Bảng [số]: Thời gian xử lý, thời gian chờ và thời gian chu kỳ</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STT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 hoạt động / Vòng lặp quy trình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xử lý PT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chờ WT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chu kỳ CT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Phương pháp tính toán và Diễn giải căn cứ nghiệp vụ vận tải</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Xác suất gateway và vòng lặp</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Nhánh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Xác suất</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Cách tính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Ghi chú</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[G1]</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[0%]</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[Tính PT, WT, CT và PCE/CTE cho Thu hộ COD và chuyển tiền; kiểm tra CT = PT + WT, tổng xác suất nhánh bằng 100% và ghi rõ dữ liệu là baseline, tính từ mô hình hay giả định.]</w:t>
      </w:r>
    </w:p>
    <w:p>
      <w:pPr>
        <w:pStyle w:val="SkeletonPlaceholder"/>
      </w:pPr>
      <w:r>
        <w:rPr>
          <w:rFonts w:ascii="Times New Roman" w:hAnsi="Times New Roman"/>
          <w:i/>
          <w:color w:val="7F7F7F"/>
          <w:sz w:val="22"/>
          <w:highlight w:val="yellow"/>
        </w:rPr>
        <w:t>[Chèn hình BPMN định lượng của Thu hộ COD và chuyển tiền nếu có phiên bản riêng với mô hình As-Is.]</w:t>
      </w:r>
    </w:p>
    <w:p>
      <w:pPr>
        <w:pStyle w:val="Heading4"/>
        <w:keepNext/>
      </w:pPr>
      <w:r>
        <w:rPr>
          <w:rFonts w:ascii="Times New Roman" w:hAnsi="Times New Roman"/>
          <w:color w:val="000000"/>
        </w:rPr>
        <w:t>5.2.3.2. Phân tích chất lượng</w:t>
      </w:r>
    </w:p>
    <w:p>
      <w:pPr>
        <w:pStyle w:val="SkeletonPlaceholder"/>
      </w:pPr>
      <w:r>
        <w:rPr>
          <w:rFonts w:ascii="Times New Roman" w:hAnsi="Times New Roman"/>
          <w:i/>
          <w:color w:val="7F7F7F"/>
          <w:sz w:val="22"/>
          <w:highlight w:val="yellow"/>
        </w:rPr>
        <w:t>Bảng [số]: Các chỉ số chất lượng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 chất lượng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[FTR/FPY hoặc tỷ lệ thành công]</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5.2.3.3. Phân tích chi phí</w:t>
      </w:r>
    </w:p>
    <w:p>
      <w:pPr>
        <w:pStyle w:val="SkeletonPlaceholder"/>
      </w:pPr>
      <w:r>
        <w:rPr>
          <w:rFonts w:ascii="Times New Roman" w:hAnsi="Times New Roman"/>
          <w:i/>
          <w:color w:val="7F7F7F"/>
          <w:sz w:val="22"/>
          <w:highlight w:val="yellow"/>
        </w:rPr>
        <w:t>Bảng [số]: Chi phí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Khoản mục chi phí</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[Chi phí nhân công/ngoại lệ]</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5.2.4. Nhận xét tổng hợp quy trình</w:t>
      </w:r>
    </w:p>
    <w:p>
      <w:pPr>
        <w:pStyle w:val="SkeletonPlaceholder"/>
      </w:pPr>
      <w:r>
        <w:rPr>
          <w:rFonts w:ascii="Times New Roman" w:hAnsi="Times New Roman"/>
          <w:i/>
          <w:color w:val="7F7F7F"/>
          <w:sz w:val="22"/>
          <w:highlight w:val="yellow"/>
        </w:rPr>
        <w:t>Bảng [số]: Tổng hợp kết quả phân tích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Khía cạnh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Hướng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[Giá trị/lãng phí/thời gian/chất lượng/chi phí]</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5.3. Phân tích quy trình Phân loại và chuyển phát trung tâm</w:t>
      </w:r>
    </w:p>
    <w:p>
      <w:pPr>
        <w:pStyle w:val="Heading3"/>
        <w:keepNext/>
      </w:pPr>
      <w:r>
        <w:rPr>
          <w:rFonts w:ascii="Times New Roman" w:hAnsi="Times New Roman"/>
          <w:color w:val="000000"/>
        </w:rPr>
        <w:t>5.3.1. Bối cảnh và phạm vi phân tích</w:t>
      </w:r>
    </w:p>
    <w:p>
      <w:pPr>
        <w:pStyle w:val="SkeletonPlaceholder"/>
      </w:pPr>
      <w:r>
        <w:rPr>
          <w:rFonts w:ascii="Times New Roman" w:hAnsi="Times New Roman"/>
          <w:i/>
          <w:color w:val="7F7F7F"/>
          <w:sz w:val="22"/>
          <w:highlight w:val="yellow"/>
        </w:rPr>
        <w:t>[Dẫn chiếu mô tả Phân loại và chuyển phát trung tâm tại Mục 2.3.3 và mô hình tại Mục 4.3.1; phần này chỉ xác định câu hỏi, dữ liệu và phạm vi phân tích, không lặp actor, bước và kết quả.]</w:t>
      </w:r>
    </w:p>
    <w:p>
      <w:pPr>
        <w:pStyle w:val="Heading3"/>
        <w:keepNext/>
      </w:pPr>
      <w:r>
        <w:rPr>
          <w:rFonts w:ascii="Times New Roman" w:hAnsi="Times New Roman"/>
          <w:color w:val="000000"/>
        </w:rPr>
        <w:t>5.3.2. Phân tích định tính</w:t>
      </w:r>
    </w:p>
    <w:p>
      <w:pPr>
        <w:pStyle w:val="Heading4"/>
        <w:keepNext/>
      </w:pPr>
      <w:r>
        <w:rPr>
          <w:rFonts w:ascii="Times New Roman" w:hAnsi="Times New Roman"/>
          <w:color w:val="000000"/>
        </w:rPr>
        <w:t>5.3.2.1. Phân tích giá trị gia tăng</w:t>
      </w:r>
    </w:p>
    <w:p>
      <w:pPr>
        <w:pStyle w:val="SkeletonPlaceholder"/>
      </w:pPr>
      <w:r>
        <w:rPr>
          <w:rFonts w:ascii="Times New Roman" w:hAnsi="Times New Roman"/>
          <w:i/>
          <w:color w:val="7F7F7F"/>
          <w:sz w:val="22"/>
          <w:highlight w:val="yellow"/>
        </w:rPr>
        <w:t>Bảng [số]: Tiêu chí phân loại VA, BVA và NVA</w:t>
      </w:r>
    </w:p>
    <w:tbl>
      <w:tblPr>
        <w:tblW w:type="auto" w:w="0"/>
        <w:jc w:val="center"/>
        <w:tblLook w:firstColumn="1" w:firstRow="1" w:lastColumn="0" w:lastRow="0" w:noHBand="0" w:noVBand="1" w:val="04A0"/>
      </w:tblPr>
      <w:tblGrid>
        <w:gridCol w:w="3202"/>
        <w:gridCol w:w="3202"/>
        <w:gridCol w:w="3202"/>
      </w:tblGrid>
      <w:tr>
        <w:trPr>
          <w:tblHeader w:val="true"/>
        </w:trPr>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giá trị</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Câu hỏi kiểm định theo phương pháp Dumas</w:t>
            </w:r>
          </w:p>
        </w:tc>
        <w:tc>
          <w:tcPr>
            <w:tcW w:type="dxa" w:w="32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 và áp dụng thực tế</w:t>
            </w:r>
          </w:p>
        </w:tc>
      </w:tr>
      <w:tr>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32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Phân loại giá trị theo từng bước</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nhân thực hiện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Phân loại giá trị</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Căn cứ phân loại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[VA/BVA/NVA]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VA/BVA/NVA của Phân loại và chuyển phát trung tâm và nhận xét tổng số lượng, tỷ trọng từng loại giá trị.]</w:t>
      </w:r>
    </w:p>
    <w:p>
      <w:pPr>
        <w:pStyle w:val="Heading4"/>
        <w:keepNext/>
      </w:pPr>
      <w:r>
        <w:rPr>
          <w:rFonts w:ascii="Times New Roman" w:hAnsi="Times New Roman"/>
          <w:color w:val="000000"/>
        </w:rPr>
        <w:t>5.3.2.2. Phân tích lãng phí</w:t>
      </w:r>
    </w:p>
    <w:p>
      <w:pPr>
        <w:pStyle w:val="SkeletonPlaceholder"/>
      </w:pPr>
      <w:r>
        <w:rPr>
          <w:rFonts w:ascii="Times New Roman" w:hAnsi="Times New Roman"/>
          <w:i/>
          <w:color w:val="7F7F7F"/>
          <w:sz w:val="22"/>
          <w:highlight w:val="yellow"/>
        </w:rPr>
        <w:t>Bảng [số]: Nhận diện lãng phí trong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lãng phí</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[Move/Hold/Over-do]</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[Chèn hình BPMN phân tích lãng phí của Phân loại và chuyển phát trung tâm; giải thích biểu hiện Move, Hold và Over-do theo các bước tham chiếu.]</w:t>
      </w:r>
    </w:p>
    <w:p>
      <w:pPr>
        <w:pStyle w:val="Heading4"/>
        <w:keepNext/>
      </w:pPr>
      <w:r>
        <w:rPr>
          <w:rFonts w:ascii="Times New Roman" w:hAnsi="Times New Roman"/>
          <w:color w:val="000000"/>
        </w:rPr>
        <w:t>5.3.2.3. Phân tích các bên liên quan</w:t>
      </w:r>
    </w:p>
    <w:p>
      <w:pPr>
        <w:pStyle w:val="SkeletonPlaceholder"/>
      </w:pPr>
      <w:r>
        <w:rPr>
          <w:rFonts w:ascii="Times New Roman" w:hAnsi="Times New Roman"/>
          <w:i/>
          <w:color w:val="7F7F7F"/>
          <w:sz w:val="22"/>
          <w:highlight w:val="yellow"/>
        </w:rPr>
        <w:t>Bảng [số]: Phân tích các bên liên quan</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Nhóm liên quan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Vai trò trong quy trình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Mối quan tâm chính</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 Yếu kém tiềm năng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thực tế</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đến hiệu năng quy trình</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5.3.2.4. Sổ theo dõi vấn đề</w:t>
      </w:r>
    </w:p>
    <w:p>
      <w:pPr>
        <w:pStyle w:val="SkeletonPlaceholder"/>
      </w:pPr>
      <w:r>
        <w:rPr>
          <w:rFonts w:ascii="Times New Roman" w:hAnsi="Times New Roman"/>
          <w:i/>
          <w:color w:val="7F7F7F"/>
          <w:sz w:val="22"/>
          <w:highlight w:val="yellow"/>
        </w:rPr>
        <w:t>Bảng [số]: Sổ theo dõi vấn đề</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chi tiết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Giả định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cải tiến đề xuất</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5.3.2.5. Phân tích nguyên nhân gốc rễ</w:t>
      </w:r>
    </w:p>
    <w:p>
      <w:pPr>
        <w:pStyle w:val="SkeletonPlaceholder"/>
      </w:pPr>
      <w:r>
        <w:rPr>
          <w:rFonts w:ascii="Times New Roman" w:hAnsi="Times New Roman"/>
          <w:i/>
          <w:color w:val="7F7F7F"/>
          <w:sz w:val="22"/>
          <w:highlight w:val="yellow"/>
        </w:rPr>
        <w:t>[Chọn vấn đề tiêu biểu của Phân loại và chuyển phát trung tâm từ Issue register và trình bày mạch nguyên nhân - hệ quả bằng sơ đồ Why-Why.]</w:t>
      </w:r>
    </w:p>
    <w:p>
      <w:pPr>
        <w:pStyle w:val="Heading5"/>
        <w:keepNext/>
      </w:pPr>
      <w:r>
        <w:rPr>
          <w:rFonts w:ascii="Times New Roman" w:hAnsi="Times New Roman"/>
          <w:color w:val="000000"/>
        </w:rPr>
        <w:t>5.3.2.5.1. Vấn đề được lựa chọn</w:t>
      </w:r>
    </w:p>
    <w:p>
      <w:pPr>
        <w:pStyle w:val="SkeletonPlaceholder"/>
      </w:pPr>
      <w:r>
        <w:rPr>
          <w:rFonts w:ascii="Times New Roman" w:hAnsi="Times New Roman"/>
          <w:i/>
          <w:color w:val="7F7F7F"/>
          <w:sz w:val="22"/>
          <w:highlight w:val="yellow"/>
        </w:rPr>
        <w:t>[Nêu mã vấn đề, biểu hiện, phạm vi tác động và lý do chọn để truy nguyên nhân.]</w:t>
      </w:r>
    </w:p>
    <w:p>
      <w:pPr>
        <w:pStyle w:val="Heading5"/>
        <w:keepNext/>
      </w:pPr>
      <w:r>
        <w:rPr>
          <w:rFonts w:ascii="Times New Roman" w:hAnsi="Times New Roman"/>
          <w:color w:val="000000"/>
        </w:rPr>
        <w:t>5.3.2.5.2. Sơ đồ Why-Why</w:t>
      </w:r>
    </w:p>
    <w:p>
      <w:pPr>
        <w:pStyle w:val="SkeletonPlaceholder"/>
      </w:pPr>
      <w:r>
        <w:rPr>
          <w:rFonts w:ascii="Times New Roman" w:hAnsi="Times New Roman"/>
          <w:i/>
          <w:color w:val="7F7F7F"/>
          <w:sz w:val="22"/>
          <w:highlight w:val="yellow"/>
        </w:rPr>
        <w:t>[Chèn sơ đồ Why-Why của Phân loại và chuyển phát trung tâm; mỗi quy trình phân tích phải có một sơ đồ riêng.]</w:t>
      </w:r>
    </w:p>
    <w:p>
      <w:pPr>
        <w:pStyle w:val="Heading5"/>
        <w:keepNext/>
      </w:pPr>
      <w:r>
        <w:rPr>
          <w:rFonts w:ascii="Times New Roman" w:hAnsi="Times New Roman"/>
          <w:color w:val="000000"/>
        </w:rPr>
        <w:t>5.3.2.5.3. Bảng phân tích 5 Whys</w:t>
      </w:r>
    </w:p>
    <w:p>
      <w:pPr>
        <w:pStyle w:val="SkeletonPlaceholder"/>
      </w:pPr>
      <w:r>
        <w:rPr>
          <w:rFonts w:ascii="Times New Roman" w:hAnsi="Times New Roman"/>
          <w:i/>
          <w:color w:val="7F7F7F"/>
          <w:sz w:val="22"/>
          <w:highlight w:val="yellow"/>
        </w:rPr>
        <w:t>Bảng [số]: Phân tích nguyên nhân gốc rễ theo 5 Whys</w:t>
      </w:r>
    </w:p>
    <w:tbl>
      <w:tblPr>
        <w:tblW w:type="auto" w:w="0"/>
        <w:jc w:val="center"/>
        <w:tblLook w:firstColumn="1" w:firstRow="1" w:lastColumn="0" w:lastRow="0" w:noHBand="0" w:noVBand="1" w:val="04A0"/>
      </w:tblPr>
      <w:tblGrid>
        <w:gridCol w:w="4802"/>
        <w:gridCol w:w="4802"/>
      </w:tblGrid>
      <w:tr>
        <w:trPr>
          <w:tblHeader w:val="true"/>
        </w:trPr>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Cấp độ phân tích 5 Why</w:t>
            </w:r>
          </w:p>
        </w:tc>
        <w:tc>
          <w:tcPr>
            <w:tcW w:type="dxa" w:w="480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Nội dung phân tích nguyên nhân gốc rễ</w:t>
            </w:r>
          </w:p>
        </w:tc>
      </w:tr>
      <w:tr>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[Why 1]</w:t>
            </w:r>
          </w:p>
        </w:tc>
        <w:tc>
          <w:tcPr>
            <w:tcW w:type="dxa" w:w="480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5.3.3. Phân tích định lượng</w:t>
      </w:r>
    </w:p>
    <w:p>
      <w:pPr>
        <w:pStyle w:val="Heading4"/>
        <w:keepNext/>
      </w:pPr>
      <w:r>
        <w:rPr>
          <w:rFonts w:ascii="Times New Roman" w:hAnsi="Times New Roman"/>
          <w:color w:val="000000"/>
        </w:rPr>
        <w:t>5.3.3.1. Phân tích thời gian</w:t>
      </w:r>
    </w:p>
    <w:p>
      <w:pPr>
        <w:pStyle w:val="SkeletonPlaceholder"/>
      </w:pPr>
      <w:r>
        <w:rPr>
          <w:rFonts w:ascii="Times New Roman" w:hAnsi="Times New Roman"/>
          <w:i/>
          <w:color w:val="7F7F7F"/>
          <w:sz w:val="22"/>
          <w:highlight w:val="yellow"/>
        </w:rPr>
        <w:t>Bảng [số]: Thời gian xử lý, thời gian chờ và thời gian chu kỳ</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STT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 hoạt động / Vòng lặp quy trình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xử lý PT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chờ WT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Thời gian chu kỳ CT (giờ)</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Phương pháp tính toán và Diễn giải căn cứ nghiệp vụ vận tải</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Bảng [số]: Xác suất gateway và vòng lặp</w:t>
      </w:r>
    </w:p>
    <w:tbl>
      <w:tblPr>
        <w:tblW w:type="auto" w:w="0"/>
        <w:jc w:val="center"/>
        <w:tblLook w:firstColumn="1" w:firstRow="1" w:lastColumn="0" w:lastRow="0" w:noHBand="0" w:noVBand="1" w:val="04A0"/>
      </w:tblPr>
      <w:tblGrid>
        <w:gridCol w:w="1921"/>
        <w:gridCol w:w="1921"/>
        <w:gridCol w:w="1921"/>
        <w:gridCol w:w="1921"/>
        <w:gridCol w:w="1921"/>
      </w:tblGrid>
      <w:tr>
        <w:trPr>
          <w:tblHeader w:val="true"/>
        </w:trPr>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Gateway</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Nhánh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Xác suất</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Cách tính</w:t>
            </w:r>
          </w:p>
        </w:tc>
        <w:tc>
          <w:tcPr>
            <w:tcW w:type="dxa" w:w="192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Ghi chú</w:t>
            </w:r>
          </w:p>
        </w:tc>
      </w:tr>
      <w:tr>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[G1]</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[0%]</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92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SkeletonPlaceholder"/>
      </w:pPr>
      <w:r>
        <w:rPr>
          <w:rFonts w:ascii="Times New Roman" w:hAnsi="Times New Roman"/>
          <w:i/>
          <w:color w:val="7F7F7F"/>
          <w:sz w:val="22"/>
          <w:highlight w:val="yellow"/>
        </w:rPr>
        <w:t>[Tính PT, WT, CT và PCE/CTE cho Phân loại và chuyển phát trung tâm; kiểm tra CT = PT + WT, tổng xác suất nhánh bằng 100% và ghi rõ dữ liệu là baseline, tính từ mô hình hay giả định.]</w:t>
      </w:r>
    </w:p>
    <w:p>
      <w:pPr>
        <w:pStyle w:val="SkeletonPlaceholder"/>
      </w:pPr>
      <w:r>
        <w:rPr>
          <w:rFonts w:ascii="Times New Roman" w:hAnsi="Times New Roman"/>
          <w:i/>
          <w:color w:val="7F7F7F"/>
          <w:sz w:val="22"/>
          <w:highlight w:val="yellow"/>
        </w:rPr>
        <w:t>[Chèn hình BPMN định lượng của Phân loại và chuyển phát trung tâm nếu có phiên bản riêng với mô hình As-Is.]</w:t>
      </w:r>
    </w:p>
    <w:p>
      <w:pPr>
        <w:pStyle w:val="Heading4"/>
        <w:keepNext/>
      </w:pPr>
      <w:r>
        <w:rPr>
          <w:rFonts w:ascii="Times New Roman" w:hAnsi="Times New Roman"/>
          <w:color w:val="000000"/>
        </w:rPr>
        <w:t>5.3.3.2. Phân tích chất lượng</w:t>
      </w:r>
    </w:p>
    <w:p>
      <w:pPr>
        <w:pStyle w:val="SkeletonPlaceholder"/>
      </w:pPr>
      <w:r>
        <w:rPr>
          <w:rFonts w:ascii="Times New Roman" w:hAnsi="Times New Roman"/>
          <w:i/>
          <w:color w:val="7F7F7F"/>
          <w:sz w:val="22"/>
          <w:highlight w:val="yellow"/>
        </w:rPr>
        <w:t>Bảng [số]: Các chỉ số chất lượng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 chất lượng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[FTR/FPY hoặc tỷ lệ thành công]</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4"/>
        <w:keepNext/>
      </w:pPr>
      <w:r>
        <w:rPr>
          <w:rFonts w:ascii="Times New Roman" w:hAnsi="Times New Roman"/>
          <w:color w:val="000000"/>
        </w:rPr>
        <w:t>5.3.3.3. Phân tích chi phí</w:t>
      </w:r>
    </w:p>
    <w:p>
      <w:pPr>
        <w:pStyle w:val="SkeletonPlaceholder"/>
      </w:pPr>
      <w:r>
        <w:rPr>
          <w:rFonts w:ascii="Times New Roman" w:hAnsi="Times New Roman"/>
          <w:i/>
          <w:color w:val="7F7F7F"/>
          <w:sz w:val="22"/>
          <w:highlight w:val="yellow"/>
        </w:rPr>
        <w:t>Bảng [số]: Chi phí của quy trình</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Khoản mục chi phí</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Tính toán</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Nhận xét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Khắc phục</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[Chi phí nhân công/ngoại lệ]</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3"/>
        <w:keepNext/>
      </w:pPr>
      <w:r>
        <w:rPr>
          <w:rFonts w:ascii="Times New Roman" w:hAnsi="Times New Roman"/>
          <w:color w:val="000000"/>
        </w:rPr>
        <w:t>5.3.4. Nhận xét tổng hợp quy trình</w:t>
      </w:r>
    </w:p>
    <w:p>
      <w:pPr>
        <w:pStyle w:val="SkeletonPlaceholder"/>
      </w:pPr>
      <w:r>
        <w:rPr>
          <w:rFonts w:ascii="Times New Roman" w:hAnsi="Times New Roman"/>
          <w:i/>
          <w:color w:val="7F7F7F"/>
          <w:sz w:val="22"/>
          <w:highlight w:val="yellow"/>
        </w:rPr>
        <w:t>Bảng [số]: Tổng hợp kết quả phân tích quy trình</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Khía cạnh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Vấn đề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Hướng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[Giá trị/lãng phí/thời gian/chất lượng/chi phí]</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5.4. Tổng hợp phát hiện và hàm ý cải tiến</w:t>
      </w:r>
    </w:p>
    <w:p>
      <w:pPr>
        <w:pStyle w:val="SkeletonPlaceholder"/>
      </w:pPr>
      <w:r>
        <w:rPr>
          <w:rFonts w:ascii="Times New Roman" w:hAnsi="Times New Roman"/>
          <w:i/>
          <w:color w:val="7F7F7F"/>
          <w:sz w:val="22"/>
          <w:highlight w:val="yellow"/>
        </w:rPr>
        <w:t>[Tổng hợp các phát hiện nổi bật của hai quy trình và chỉ ra hàm ý cải tiến; không lặp lại các bảng phân tích chi tiết.]</w:t>
      </w:r>
    </w:p>
    <w:p>
      <w:pPr>
        <w:pStyle w:val="SkeletonPlaceholder"/>
      </w:pPr>
      <w:r>
        <w:rPr>
          <w:rFonts w:ascii="Times New Roman" w:hAnsi="Times New Roman"/>
          <w:i/>
          <w:color w:val="7F7F7F"/>
          <w:sz w:val="22"/>
          <w:highlight w:val="yellow"/>
        </w:rPr>
        <w:t>Bảng [số]: Tổng hợp phát hiện và hàm ý cải tiến</w:t>
      </w:r>
    </w:p>
    <w:tbl>
      <w:tblPr>
        <w:tblW w:type="auto" w:w="0"/>
        <w:jc w:val="center"/>
        <w:tblLook w:firstColumn="1" w:firstRow="1" w:lastColumn="0" w:lastRow="0" w:noHBand="0" w:noVBand="1" w:val="04A0"/>
      </w:tblPr>
      <w:tblGrid>
        <w:gridCol w:w="2401"/>
        <w:gridCol w:w="2401"/>
        <w:gridCol w:w="2401"/>
        <w:gridCol w:w="2401"/>
      </w:tblGrid>
      <w:tr>
        <w:trPr>
          <w:tblHeader w:val="true"/>
        </w:trPr>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Phát hiện chính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phân tích</w:t>
            </w:r>
          </w:p>
        </w:tc>
        <w:tc>
          <w:tcPr>
            <w:tcW w:type="dxa" w:w="24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Hàm ý cải tiến</w:t>
            </w:r>
          </w:p>
        </w:tc>
      </w:tr>
      <w:tr>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24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1"/>
        <w:keepNext/>
        <w:pageBreakBefore/>
        <w:jc w:val="left"/>
      </w:pPr>
      <w:r>
        <w:rPr>
          <w:rFonts w:ascii="Times New Roman" w:hAnsi="Times New Roman"/>
          <w:b/>
          <w:i w:val="0"/>
          <w:color w:val="000000"/>
          <w:sz w:val="32"/>
        </w:rPr>
        <w:t>CHƯƠNG 6. ĐỀ XUẤT CẢI TIẾN VÀ KẾT LUẬN</w:t>
      </w:r>
    </w:p>
    <w:p>
      <w:pPr>
        <w:pStyle w:val="Heading2"/>
        <w:keepNext/>
      </w:pPr>
      <w:r>
        <w:rPr>
          <w:rFonts w:ascii="Times New Roman" w:hAnsi="Times New Roman"/>
          <w:color w:val="000000"/>
        </w:rPr>
        <w:t>6.1. Cơ sở đề xuất cải tiến</w:t>
      </w:r>
    </w:p>
    <w:p>
      <w:pPr>
        <w:pStyle w:val="SkeletonPlaceholder"/>
      </w:pPr>
      <w:r>
        <w:rPr>
          <w:rFonts w:ascii="Times New Roman" w:hAnsi="Times New Roman"/>
          <w:i/>
          <w:color w:val="7F7F7F"/>
          <w:sz w:val="22"/>
          <w:highlight w:val="yellow"/>
        </w:rPr>
        <w:t>[Liên kết các phát hiện từ Chương 5 với mục tiêu cải tiến; không đưa vào đây vấn đề chưa được phân tích.]</w:t>
      </w:r>
    </w:p>
    <w:p>
      <w:pPr>
        <w:pStyle w:val="Heading2"/>
        <w:keepNext/>
      </w:pPr>
      <w:r>
        <w:rPr>
          <w:rFonts w:ascii="Times New Roman" w:hAnsi="Times New Roman"/>
          <w:color w:val="000000"/>
        </w:rPr>
        <w:t>6.2. Các vấn đề ưu tiên</w:t>
      </w:r>
    </w:p>
    <w:p>
      <w:pPr>
        <w:pStyle w:val="SkeletonPlaceholder"/>
      </w:pPr>
      <w:r>
        <w:rPr>
          <w:rFonts w:ascii="Times New Roman" w:hAnsi="Times New Roman"/>
          <w:i/>
          <w:color w:val="7F7F7F"/>
          <w:sz w:val="22"/>
          <w:highlight w:val="yellow"/>
        </w:rPr>
        <w:t>[Xác định vấn đề theo mức độ ảnh hưởng, khả năng can thiệp và dữ liệu hỗ trợ.]</w:t>
      </w:r>
    </w:p>
    <w:p>
      <w:pPr>
        <w:pStyle w:val="Heading3"/>
        <w:keepNext/>
      </w:pPr>
      <w:r>
        <w:rPr>
          <w:rFonts w:ascii="Times New Roman" w:hAnsi="Times New Roman"/>
          <w:color w:val="000000"/>
        </w:rPr>
        <w:t>6.2.1. Vấn đề của quy trình Thu hộ COD và chuyển tiền</w:t>
      </w:r>
    </w:p>
    <w:p>
      <w:pPr>
        <w:pStyle w:val="SkeletonPlaceholder"/>
      </w:pPr>
      <w:r>
        <w:rPr>
          <w:rFonts w:ascii="Times New Roman" w:hAnsi="Times New Roman"/>
          <w:i/>
          <w:color w:val="7F7F7F"/>
          <w:sz w:val="22"/>
          <w:highlight w:val="yellow"/>
        </w:rPr>
        <w:t>[Dẫn chiếu mã vấn đề từ Mục 5.2; không chép lại Issue register đầy đủ.]</w:t>
      </w:r>
    </w:p>
    <w:p>
      <w:pPr>
        <w:pStyle w:val="Heading3"/>
        <w:keepNext/>
      </w:pPr>
      <w:r>
        <w:rPr>
          <w:rFonts w:ascii="Times New Roman" w:hAnsi="Times New Roman"/>
          <w:color w:val="000000"/>
        </w:rPr>
        <w:t>6.2.2. Vấn đề của quy trình Phân loại và chuyển phát trung tâm</w:t>
      </w:r>
    </w:p>
    <w:p>
      <w:pPr>
        <w:pStyle w:val="SkeletonPlaceholder"/>
      </w:pPr>
      <w:r>
        <w:rPr>
          <w:rFonts w:ascii="Times New Roman" w:hAnsi="Times New Roman"/>
          <w:i/>
          <w:color w:val="7F7F7F"/>
          <w:sz w:val="22"/>
          <w:highlight w:val="yellow"/>
        </w:rPr>
        <w:t>[Dẫn chiếu mã vấn đề từ Mục 5.3; không chép lại Issue register đầy đủ.]</w:t>
      </w:r>
    </w:p>
    <w:p>
      <w:pPr>
        <w:pStyle w:val="Heading3"/>
        <w:keepNext/>
      </w:pPr>
      <w:r>
        <w:rPr>
          <w:rFonts w:ascii="Times New Roman" w:hAnsi="Times New Roman"/>
          <w:color w:val="000000"/>
        </w:rPr>
        <w:t>6.2.3. Các vấn đề liên quy trình</w:t>
      </w:r>
    </w:p>
    <w:p>
      <w:pPr>
        <w:pStyle w:val="SkeletonPlaceholder"/>
      </w:pPr>
      <w:r>
        <w:rPr>
          <w:rFonts w:ascii="Times New Roman" w:hAnsi="Times New Roman"/>
          <w:i/>
          <w:color w:val="7F7F7F"/>
          <w:sz w:val="22"/>
          <w:highlight w:val="yellow"/>
        </w:rPr>
        <w:t>[Tổng hợp các vấn đề liên quan đến dữ liệu, bàn giao, chờ xử lý và phối hợp giữa các đơn vị.]</w:t>
      </w:r>
    </w:p>
    <w:p>
      <w:pPr>
        <w:pStyle w:val="SkeletonPlaceholder"/>
      </w:pPr>
      <w:r>
        <w:rPr>
          <w:rFonts w:ascii="Times New Roman" w:hAnsi="Times New Roman"/>
          <w:i/>
          <w:color w:val="7F7F7F"/>
          <w:sz w:val="22"/>
          <w:highlight w:val="yellow"/>
        </w:rPr>
        <w:t>Bảng [số]: Các vấn đề ưu tiên cần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Tên vấn đề</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Quy trình liên quan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Bằng chứng / Chỉ số từ Chương 5</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tính</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định lượng</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Mức ưu tiên</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[ISS-01]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6.3. Phương án cải tiến</w:t>
      </w:r>
    </w:p>
    <w:p>
      <w:pPr>
        <w:pStyle w:val="Heading3"/>
        <w:keepNext/>
      </w:pPr>
      <w:r>
        <w:rPr>
          <w:rFonts w:ascii="Times New Roman" w:hAnsi="Times New Roman"/>
          <w:color w:val="000000"/>
        </w:rPr>
        <w:t>6.3.1. Cải tiến quy trình Thu hộ COD và chuyển tiền</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quy trình Thu hộ COD và chuyển tiền.]</w:t>
      </w:r>
    </w:p>
    <w:p>
      <w:pPr>
        <w:pStyle w:val="Heading3"/>
        <w:keepNext/>
      </w:pPr>
      <w:r>
        <w:rPr>
          <w:rFonts w:ascii="Times New Roman" w:hAnsi="Times New Roman"/>
          <w:color w:val="000000"/>
        </w:rPr>
        <w:t>6.3.2. Cải tiến quy trình Phân loại và chuyển phát trung tâm</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quy trình Phân loại và chuyển phát trung tâm.]</w:t>
      </w:r>
    </w:p>
    <w:p>
      <w:pPr>
        <w:pStyle w:val="Heading3"/>
        <w:keepNext/>
      </w:pPr>
      <w:r>
        <w:rPr>
          <w:rFonts w:ascii="Times New Roman" w:hAnsi="Times New Roman"/>
          <w:color w:val="000000"/>
        </w:rPr>
        <w:t>6.3.3. Cải tiến dữ liệu và hệ thống liên quan</w:t>
      </w:r>
    </w:p>
    <w:p>
      <w:pPr>
        <w:pStyle w:val="SkeletonPlaceholder"/>
      </w:pPr>
      <w:r>
        <w:rPr>
          <w:rFonts w:ascii="Times New Roman" w:hAnsi="Times New Roman"/>
          <w:i/>
          <w:color w:val="7F7F7F"/>
          <w:sz w:val="22"/>
          <w:highlight w:val="yellow"/>
        </w:rPr>
        <w:t>[Nêu vấn đề làm cơ sở, giải pháp, hoạt động bị thay đổi, điều kiện triển khai và tác động kỳ vọng cho Cải tiến dữ liệu và hệ thống liên quan.]</w:t>
      </w:r>
    </w:p>
    <w:p>
      <w:pPr>
        <w:pStyle w:val="SkeletonPlaceholder"/>
      </w:pPr>
      <w:r>
        <w:rPr>
          <w:rFonts w:ascii="Times New Roman" w:hAnsi="Times New Roman"/>
          <w:i/>
          <w:color w:val="7F7F7F"/>
          <w:sz w:val="22"/>
          <w:highlight w:val="yellow"/>
        </w:rPr>
        <w:t>Bảng [số]: Danh mục phương án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giải pháp</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vấn đề liên quan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Mô tả giải pháp</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Hoạt động bị thay đổi</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Điều kiện triển khai</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mục tiêu</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[SOL-01]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6.4. Mô hình quy trình To-Be</w:t>
      </w:r>
    </w:p>
    <w:p>
      <w:pPr>
        <w:pStyle w:val="Heading3"/>
        <w:keepNext/>
      </w:pPr>
      <w:r>
        <w:rPr>
          <w:rFonts w:ascii="Times New Roman" w:hAnsi="Times New Roman"/>
          <w:color w:val="000000"/>
        </w:rPr>
        <w:t>6.4.1. Mô hình To-Be quy trình Thu hộ COD và chuyển tiền</w:t>
      </w:r>
    </w:p>
    <w:p>
      <w:pPr>
        <w:pStyle w:val="SkeletonPlaceholder"/>
      </w:pPr>
      <w:r>
        <w:rPr>
          <w:rFonts w:ascii="Times New Roman" w:hAnsi="Times New Roman"/>
          <w:i/>
          <w:color w:val="7F7F7F"/>
          <w:sz w:val="22"/>
          <w:highlight w:val="yellow"/>
        </w:rPr>
        <w:t>[Chèn mô hình To-Be và thuyết minh các thay đổi so với mô hình As-Is tại Mục 4.3.2.]</w:t>
      </w:r>
    </w:p>
    <w:p>
      <w:pPr>
        <w:pStyle w:val="Heading3"/>
        <w:keepNext/>
      </w:pPr>
      <w:r>
        <w:rPr>
          <w:rFonts w:ascii="Times New Roman" w:hAnsi="Times New Roman"/>
          <w:color w:val="000000"/>
        </w:rPr>
        <w:t>6.4.2. Mô hình To-Be quy trình Phân loại và chuyển phát trung tâm</w:t>
      </w:r>
    </w:p>
    <w:p>
      <w:pPr>
        <w:pStyle w:val="SkeletonPlaceholder"/>
      </w:pPr>
      <w:r>
        <w:rPr>
          <w:rFonts w:ascii="Times New Roman" w:hAnsi="Times New Roman"/>
          <w:i/>
          <w:color w:val="7F7F7F"/>
          <w:sz w:val="22"/>
          <w:highlight w:val="yellow"/>
        </w:rPr>
        <w:t>[Chèn mô hình To-Be và thuyết minh các thay đổi so với mô hình As-Is tại Mục 4.3.1.]</w:t>
      </w:r>
    </w:p>
    <w:p>
      <w:pPr>
        <w:pStyle w:val="Heading3"/>
        <w:keepNext/>
      </w:pPr>
      <w:r>
        <w:rPr>
          <w:rFonts w:ascii="Times New Roman" w:hAnsi="Times New Roman"/>
          <w:color w:val="000000"/>
        </w:rPr>
        <w:t>6.4.3. So sánh As-Is và To-Be</w:t>
      </w:r>
    </w:p>
    <w:p>
      <w:pPr>
        <w:pStyle w:val="SkeletonPlaceholder"/>
      </w:pPr>
      <w:r>
        <w:rPr>
          <w:rFonts w:ascii="Times New Roman" w:hAnsi="Times New Roman"/>
          <w:i/>
          <w:color w:val="7F7F7F"/>
          <w:sz w:val="22"/>
          <w:highlight w:val="yellow"/>
        </w:rPr>
        <w:t>Bảng [số]: So sánh thay đổi giữa mô hình As-Is và To-Be</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Bước / Hoạt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 chế As-Is</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Thay đổi To-Be</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Loại thay đổi</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Tác động kỳ vọng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liên quan</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[B1]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[Loại bỏ/Tự động hóa/Chuẩn hóa]</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6.5. Lộ trình thực hiện</w:t>
      </w:r>
    </w:p>
    <w:p>
      <w:pPr>
        <w:pStyle w:val="SkeletonPlaceholder"/>
      </w:pPr>
      <w:r>
        <w:rPr>
          <w:rFonts w:ascii="Times New Roman" w:hAnsi="Times New Roman"/>
          <w:i/>
          <w:color w:val="7F7F7F"/>
          <w:sz w:val="22"/>
          <w:highlight w:val="yellow"/>
        </w:rPr>
        <w:t>[Sắp xếp giải pháp theo giai đoạn, nguồn lực, phụ thuộc và điều kiện triển khai.]</w:t>
      </w:r>
    </w:p>
    <w:p>
      <w:pPr>
        <w:pStyle w:val="SkeletonPlaceholder"/>
      </w:pPr>
      <w:r>
        <w:rPr>
          <w:rFonts w:ascii="Times New Roman" w:hAnsi="Times New Roman"/>
          <w:i/>
          <w:color w:val="7F7F7F"/>
          <w:sz w:val="22"/>
          <w:highlight w:val="yellow"/>
        </w:rPr>
        <w:t>Bảng [số]: Lộ trình thực hiện cải tiến</w:t>
      </w:r>
    </w:p>
    <w:tbl>
      <w:tblPr>
        <w:tblW w:type="auto" w:w="0"/>
        <w:jc w:val="center"/>
        <w:tblLook w:firstColumn="1" w:firstRow="1" w:lastColumn="0" w:lastRow="0" w:noHBand="0" w:noVBand="1" w:val="04A0"/>
      </w:tblPr>
      <w:tblGrid>
        <w:gridCol w:w="1372"/>
        <w:gridCol w:w="1372"/>
        <w:gridCol w:w="1372"/>
        <w:gridCol w:w="1372"/>
        <w:gridCol w:w="1372"/>
        <w:gridCol w:w="1372"/>
        <w:gridCol w:w="1372"/>
      </w:tblGrid>
      <w:tr>
        <w:trPr>
          <w:tblHeader w:val="true"/>
        </w:trPr>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Giai đoạn</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Hạng mục</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Đầu vào cần thiết</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Kết quả bàn giao</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KPI nghiệm thu</w:t>
            </w:r>
          </w:p>
        </w:tc>
        <w:tc>
          <w:tcPr>
            <w:tcW w:type="dxa" w:w="1372"/>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Phụ thuộc / Rủi ro</w:t>
            </w:r>
          </w:p>
        </w:tc>
      </w:tr>
      <w:tr>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[Giai đoạn 1]</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372"/>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6.6. Chỉ số đánh giá sau cải tiến</w:t>
      </w:r>
    </w:p>
    <w:p>
      <w:pPr>
        <w:pStyle w:val="SkeletonPlaceholder"/>
      </w:pPr>
      <w:r>
        <w:rPr>
          <w:rFonts w:ascii="Times New Roman" w:hAnsi="Times New Roman"/>
          <w:i/>
          <w:color w:val="7F7F7F"/>
          <w:sz w:val="22"/>
          <w:highlight w:val="yellow"/>
        </w:rPr>
        <w:t>[Xác định baseline, mục tiêu, nguồn dữ liệu và tần suất đo; phân biệt số liệu đã xác minh với mục tiêu đề xuất.]</w:t>
      </w:r>
    </w:p>
    <w:p>
      <w:pPr>
        <w:pStyle w:val="SkeletonPlaceholder"/>
      </w:pPr>
      <w:r>
        <w:rPr>
          <w:rFonts w:ascii="Times New Roman" w:hAnsi="Times New Roman"/>
          <w:i/>
          <w:color w:val="7F7F7F"/>
          <w:sz w:val="22"/>
          <w:highlight w:val="yellow"/>
        </w:rPr>
        <w:t>Bảng [số]: Bộ chỉ số đánh giá sau cải tiến</w:t>
      </w:r>
    </w:p>
    <w:tbl>
      <w:tblPr>
        <w:tblW w:type="auto" w:w="0"/>
        <w:jc w:val="center"/>
        <w:tblLook w:firstColumn="1" w:firstRow="1" w:lastColumn="0" w:lastRow="0" w:noHBand="0" w:noVBand="1" w:val="04A0"/>
      </w:tblPr>
      <w:tblGrid>
        <w:gridCol w:w="1201"/>
        <w:gridCol w:w="1201"/>
        <w:gridCol w:w="1201"/>
        <w:gridCol w:w="1201"/>
        <w:gridCol w:w="1201"/>
        <w:gridCol w:w="1201"/>
        <w:gridCol w:w="1201"/>
        <w:gridCol w:w="1201"/>
      </w:tblGrid>
      <w:tr>
        <w:trPr>
          <w:tblHeader w:val="true"/>
        </w:trPr>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Chỉ số</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Công thức tính</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Baseline</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Mục tiêu</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Đơn vị đo lường</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Nguồn dữ liệu</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Tần suất đo</w:t>
            </w:r>
          </w:p>
        </w:tc>
        <w:tc>
          <w:tcPr>
            <w:tcW w:type="dxa" w:w="12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r>
      <w:tr>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[KPI-01]</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2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6.7. Rủi ro và điều kiện triển khai</w:t>
      </w:r>
    </w:p>
    <w:p>
      <w:pPr>
        <w:pStyle w:val="SkeletonPlaceholder"/>
      </w:pPr>
      <w:r>
        <w:rPr>
          <w:rFonts w:ascii="Times New Roman" w:hAnsi="Times New Roman"/>
          <w:i/>
          <w:color w:val="7F7F7F"/>
          <w:sz w:val="22"/>
          <w:highlight w:val="yellow"/>
        </w:rPr>
        <w:t>[Nêu các rủi ro về dữ liệu, hệ thống, con người, chi phí và thay đổi vận hành cùng điều kiện kiểm soát.]</w:t>
      </w:r>
    </w:p>
    <w:p>
      <w:pPr>
        <w:pStyle w:val="SkeletonPlaceholder"/>
      </w:pPr>
      <w:r>
        <w:rPr>
          <w:rFonts w:ascii="Times New Roman" w:hAnsi="Times New Roman"/>
          <w:i/>
          <w:color w:val="7F7F7F"/>
          <w:sz w:val="22"/>
          <w:highlight w:val="yellow"/>
        </w:rPr>
        <w:t>Bảng [số]: Rủi ro và biện pháp kiểm soát</w:t>
      </w:r>
    </w:p>
    <w:tbl>
      <w:tblPr>
        <w:tblW w:type="auto" w:w="0"/>
        <w:jc w:val="center"/>
        <w:tblLook w:firstColumn="1" w:firstRow="1" w:lastColumn="0" w:lastRow="0" w:noHBand="0" w:noVBand="1" w:val="04A0"/>
      </w:tblPr>
      <w:tblGrid>
        <w:gridCol w:w="1601"/>
        <w:gridCol w:w="1601"/>
        <w:gridCol w:w="1601"/>
        <w:gridCol w:w="1601"/>
        <w:gridCol w:w="1601"/>
        <w:gridCol w:w="1601"/>
      </w:tblGrid>
      <w:tr>
        <w:trPr>
          <w:tblHeader w:val="true"/>
        </w:trPr>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Mã rủi ro</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Rủi ro</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Khả năng xảy ra</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Mức tác động</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Biện pháp kiểm soát</w:t>
            </w:r>
          </w:p>
        </w:tc>
        <w:tc>
          <w:tcPr>
            <w:tcW w:type="dxa" w:w="1601"/>
            <w:vAlign w:val="center"/>
            <w:shd w:fill="D9D9D9"/>
            <w:tcBorders>
              <w:top w:val="single" w:sz="6" w:color="A6A6A6"/>
              <w:left w:val="single" w:sz="6" w:color="A6A6A6"/>
              <w:bottom w:val="single" w:sz="6" w:color="A6A6A6"/>
              <w:right w:val="single" w:sz="6" w:color="A6A6A6"/>
              <w:insideH w:val="single" w:sz="6" w:color="A6A6A6"/>
              <w:insideV w:val="single" w:sz="6" w:color="A6A6A6"/>
            </w:tcBorders>
          </w:tcPr>
          <w:p>
            <w:pPr>
              <w:spacing w:after="40"/>
              <w:jc w:val="center"/>
            </w:pPr>
            <w:r>
              <w:rPr>
                <w:rFonts w:ascii="Times New Roman" w:hAnsi="Times New Roman"/>
                <w:b/>
                <w:color w:val="000000"/>
                <w:sz w:val="21"/>
              </w:rPr>
              <w:t>Chủ sở hữu</w:t>
            </w:r>
          </w:p>
        </w:tc>
      </w:tr>
      <w:tr>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[R-01]</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c>
          <w:tcPr>
            <w:tcW w:type="dxa" w:w="1601"/>
            <w:vAlign w:val="center"/>
            <w:shd w:fill="FFFFFF"/>
            <w:tcBorders>
              <w:top w:val="single" w:sz="6" w:color="A6A6A6"/>
              <w:left w:val="single" w:sz="6" w:color="A6A6A6"/>
              <w:bottom w:val="single" w:sz="6" w:color="A6A6A6"/>
              <w:right w:val="single" w:sz="6" w:color="A6A6A6"/>
              <w:insideH w:val="single" w:sz="6" w:color="A6A6A6"/>
              <w:insideV w:val="single" w:sz="6" w:color="A6A6A6"/>
            </w:tcBorders>
          </w:tcPr>
          <w:p>
            <w:pPr>
              <w:pStyle w:val="SkeletonPlaceholder"/>
              <w:spacing w:after="40"/>
              <w:jc w:val="left"/>
            </w:pPr>
            <w:r>
              <w:rPr>
                <w:rFonts w:ascii="Times New Roman" w:hAnsi="Times New Roman"/>
                <w:b w:val="0"/>
                <w:i/>
                <w:color w:val="7F7F7F"/>
                <w:sz w:val="22"/>
                <w:highlight w:val="yellow"/>
              </w:rPr>
              <w:t>[Chưa điền]</w:t>
            </w:r>
          </w:p>
        </w:tc>
      </w:tr>
    </w:tbl>
    <w:p>
      <w:pPr>
        <w:pStyle w:val="Heading2"/>
        <w:keepNext/>
      </w:pPr>
      <w:r>
        <w:rPr>
          <w:rFonts w:ascii="Times New Roman" w:hAnsi="Times New Roman"/>
          <w:color w:val="000000"/>
        </w:rPr>
        <w:t>6.8. Kết luận</w:t>
      </w:r>
    </w:p>
    <w:p>
      <w:pPr>
        <w:pStyle w:val="SkeletonPlaceholder"/>
      </w:pPr>
      <w:r>
        <w:rPr>
          <w:rFonts w:ascii="Times New Roman" w:hAnsi="Times New Roman"/>
          <w:i/>
          <w:color w:val="7F7F7F"/>
          <w:sz w:val="22"/>
          <w:highlight w:val="yellow"/>
        </w:rPr>
        <w:t>[Tổng hợp phát hiện chính, đóng góp của nghiên cứu, giới hạn dữ liệu và hướng nghiên cứu tiếp theo.]</w:t>
      </w:r>
    </w:p>
    <w:p>
      <w:pPr>
        <w:pStyle w:val="Heading1"/>
        <w:keepNext/>
        <w:pageBreakBefore w:val="0"/>
        <w:jc w:val="left"/>
      </w:pPr>
      <w:r>
        <w:rPr>
          <w:rFonts w:ascii="Times New Roman" w:hAnsi="Times New Roman"/>
          <w:b/>
          <w:i w:val="0"/>
          <w:color w:val="000000"/>
          <w:sz w:val="32"/>
        </w:rPr>
        <w:t>TÀI LIỆU THAM KHẢO</w:t>
      </w:r>
    </w:p>
    <w:p>
      <w:pPr>
        <w:pStyle w:val="SkeletonPlaceholder"/>
        <w:jc w:val="left"/>
      </w:pPr>
      <w:r>
        <w:rPr>
          <w:rFonts w:ascii="Times New Roman" w:hAnsi="Times New Roman"/>
          <w:i/>
          <w:color w:val="7F7F7F"/>
          <w:sz w:val="22"/>
          <w:highlight w:val="yellow"/>
        </w:rPr>
        <w:t>[Danh mục tài liệu học thuật, tài liệu doanh nghiệp và tài liệu của nhóm nếu được trích dẫn]</w:t>
      </w:r>
    </w:p>
    <w:p>
      <w:pPr>
        <w:pStyle w:val="Heading1"/>
        <w:keepNext/>
        <w:pageBreakBefore w:val="0"/>
        <w:jc w:val="left"/>
      </w:pPr>
      <w:r>
        <w:rPr>
          <w:rFonts w:ascii="Times New Roman" w:hAnsi="Times New Roman"/>
          <w:b/>
          <w:i w:val="0"/>
          <w:color w:val="000000"/>
          <w:sz w:val="32"/>
        </w:rPr>
        <w:t>PHỤ LỤC</w:t>
      </w:r>
    </w:p>
    <w:p>
      <w:pPr>
        <w:pStyle w:val="Heading2"/>
        <w:keepNext/>
      </w:pPr>
      <w:r>
        <w:rPr>
          <w:rFonts w:ascii="Times New Roman" w:hAnsi="Times New Roman"/>
          <w:color w:val="000000"/>
        </w:rPr>
        <w:t>Phụ lục A. Sơ đồ BPMN kích thước lớn</w:t>
      </w:r>
    </w:p>
    <w:p>
      <w:pPr>
        <w:pStyle w:val="SkeletonPlaceholder"/>
      </w:pPr>
      <w:r>
        <w:rPr>
          <w:rFonts w:ascii="Times New Roman" w:hAnsi="Times New Roman"/>
          <w:i/>
          <w:color w:val="7F7F7F"/>
          <w:sz w:val="22"/>
          <w:highlight w:val="yellow"/>
        </w:rPr>
        <w:t>[Chỉ đưa các sơ đồ BPMN không thể trình bày rõ trong thân bài.]</w:t>
      </w:r>
    </w:p>
    <w:p>
      <w:pPr>
        <w:pStyle w:val="Heading2"/>
        <w:keepNext/>
      </w:pPr>
      <w:r>
        <w:rPr>
          <w:rFonts w:ascii="Times New Roman" w:hAnsi="Times New Roman"/>
          <w:color w:val="000000"/>
        </w:rPr>
        <w:t>Phụ lục B. Bảng tính định lượng chi tiết</w:t>
      </w:r>
    </w:p>
    <w:p>
      <w:pPr>
        <w:pStyle w:val="SkeletonPlaceholder"/>
      </w:pPr>
      <w:r>
        <w:rPr>
          <w:rFonts w:ascii="Times New Roman" w:hAnsi="Times New Roman"/>
          <w:i/>
          <w:color w:val="7F7F7F"/>
          <w:sz w:val="22"/>
          <w:highlight w:val="yellow"/>
        </w:rPr>
        <w:t>[Đưa công thức, bảng tính trung gian và dữ liệu chi tiết khi cần tra cứu.]</w:t>
      </w:r>
    </w:p>
    <w:p>
      <w:pPr>
        <w:pStyle w:val="Heading2"/>
        <w:keepNext/>
      </w:pPr>
      <w:r>
        <w:rPr>
          <w:rFonts w:ascii="Times New Roman" w:hAnsi="Times New Roman"/>
          <w:color w:val="000000"/>
        </w:rPr>
        <w:t>Phụ lục C. Biểu mẫu và minh chứng nghiệp vụ</w:t>
      </w:r>
    </w:p>
    <w:p>
      <w:pPr>
        <w:pStyle w:val="SkeletonPlaceholder"/>
      </w:pPr>
      <w:r>
        <w:rPr>
          <w:rFonts w:ascii="Times New Roman" w:hAnsi="Times New Roman"/>
          <w:i/>
          <w:color w:val="7F7F7F"/>
          <w:sz w:val="22"/>
          <w:highlight w:val="yellow"/>
        </w:rPr>
        <w:t>[Đưa bản scan hoặc biểu mẫu có kích thước lớn; phần mô tả và minh họa cần thiết vẫn đặt trong Chương 3.]</w:t>
      </w:r>
    </w:p>
    <w:sectPr>
      <w:type w:val="nextPage"/>
      <w:pgSz w:h="16834" w:w="11909" w:orient="portrait"/>
      <w:pgMar w:bottom="1152" w:top="1152" w:left="1224" w:right="1080" w:header="720" w:footer="720"/>
    </w:sectPr>
  </w:body>
</w:document>
</file>

<file path=word/fontTable.xml><?xml version="1.0" encoding="utf-8"?>
<w:font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font w:name="Arial"/>
  <w:font w:name="Times New Roman"/>
  <w:font w:name="Caudex">
    <w:embedRegular w:fontKey="{00000000-0000-0000-0000-000000000000}" r:id="rId1" w:subsetted="0"/>
    <w:embedBold w:fontKey="{00000000-0000-0000-0000-000000000000}" r:id="rId2" w:subsetted="0"/>
    <w:embedItalic w:fontKey="{00000000-0000-0000-0000-000000000000}" r:id="rId3" w:subsetted="0"/>
    <w:embedBoldItalic w:fontKey="{00000000-0000-0000-0000-000000000000}" r:id="rId4" w:subsetted="0"/>
  </w:font>
</w:fonts>
</file>

<file path=word/footer1.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2">
    <w:pPr>
      <w:rPr/>
    </w:pPr>
    <w:r w:rsidDel="00000000" w:rsidR="00000000" w:rsidRPr="00000000">
      <w:rPr>
        <w:rtl w:val="0"/>
      </w:rPr>
    </w:r>
  </w:p>
</w:ftr>
</file>

<file path=word/footer2.xml><?xml version="1.0" encoding="utf-8"?>
<w:ft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3">
    <w:pPr>
      <w:rPr/>
    </w:pPr>
    <w:r w:rsidDel="00000000" w:rsidR="00000000" w:rsidRPr="00000000">
      <w:rPr>
        <w:rtl w:val="0"/>
      </w:rPr>
    </w:r>
  </w:p>
</w:ftr>
</file>

<file path=word/header1.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0">
    <w:pPr>
      <w:jc w:val="center"/>
      <w:rPr>
        <w:rFonts w:ascii="Times New Roman" w:cs="Times New Roman" w:eastAsia="Times New Roman" w:hAnsi="Times New Roman"/>
        <w:color w:val="434343"/>
        <w:sz w:val="24"/>
        <w:szCs w:val="24"/>
      </w:rPr>
    </w:pPr>
    <w:r w:rsidDel="00000000" w:rsidR="00000000" w:rsidRPr="00000000">
      <w:rPr>
        <w:rFonts w:ascii="Times New Roman" w:cs="Times New Roman" w:eastAsia="Times New Roman" w:hAnsi="Times New Roman"/>
        <w:color w:val="434343"/>
        <w:sz w:val="24"/>
        <w:szCs w:val="24"/>
        <w:rtl w:val="0"/>
      </w:rPr>
      <w:t xml:space="preserve">Báo cáo đồ án - Viettel Post</w:t>
    </w:r>
  </w:p>
</w:hdr>
</file>

<file path=word/header2.xml><?xml version="1.0" encoding="utf-8"?>
<w:hdr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p w:rsidR="00000000" w:rsidDel="00000000" w:rsidP="00000000" w:rsidRDefault="00000000" w:rsidRPr="00000000" w14:paraId="000002A1">
    <w:pPr>
      <w:rPr/>
    </w:pPr>
    <w:r w:rsidDel="00000000" w:rsidR="00000000" w:rsidRPr="00000000">
      <w:rPr>
        <w:rtl w:val="0"/>
      </w:rPr>
    </w:r>
    <w:r w:rsidDel="00000000" w:rsidR="00000000" w:rsidRPr="00000000">
      <mc:AlternateContent>
        <mc:Choice Requires="wpg">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 descr="Image: theme1.xml"/>
              <a:graphic>
                <a:graphicData uri="http://schemas.microsoft.com/office/word/2010/wordprocessingGroup">
                  <wpg:wgp>
                    <wpg:cNvGrpSpPr/>
                    <wpg:grpSpPr>
                      <a:xfrm>
                        <a:off x="1578850" y="0"/>
                        <a:ext cx="7534275" cy="10653713"/>
                        <a:chOff x="1578850" y="0"/>
                        <a:chExt cx="7534300" cy="7560000"/>
                      </a:xfrm>
                    </wpg:grpSpPr>
                    <wpg:grpSp>
                      <wpg:cNvGrpSpPr/>
                      <wpg:grpSpPr>
                        <a:xfrm>
                          <a:off x="1578863" y="0"/>
                          <a:ext cx="7534275" cy="7560000"/>
                          <a:chOff x="1578850" y="0"/>
                          <a:chExt cx="7534300" cy="7560000"/>
                        </a:xfrm>
                      </wpg:grpSpPr>
                      <wps:wsp>
                        <wps:cNvSpPr/>
                        <wps:cNvPr id="3" name="Shape 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5" name="Shape 5"/>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7" name="Shape 7"/>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9" name="Shape 9"/>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1" name="Shape 11"/>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1578850" y="0"/>
                                    <a:chExt cx="7534300" cy="7560000"/>
                                  </a:xfrm>
                                </wpg:grpSpPr>
                                <wps:wsp>
                                  <wps:cNvSpPr/>
                                  <wps:cNvPr id="13" name="Shape 13"/>
                                  <wps:spPr>
                                    <a:xfrm>
                                      <a:off x="1578850" y="0"/>
                                      <a:ext cx="75343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1578863" y="0"/>
                                      <a:ext cx="7534275" cy="7560000"/>
                                      <a:chOff x="2232900" y="0"/>
                                      <a:chExt cx="6226200" cy="7560000"/>
                                    </a:xfrm>
                                  </wpg:grpSpPr>
                                  <wps:wsp>
                                    <wps:cNvSpPr/>
                                    <wps:cNvPr id="15" name="Shape 15"/>
                                    <wps:spPr>
                                      <a:xfrm>
                                        <a:off x="2232900" y="0"/>
                                        <a:ext cx="6226200" cy="7560000"/>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wpg:grpSp>
                                    <wpg:cNvGrpSpPr/>
                                    <wpg:grpSpPr>
                                      <a:xfrm>
                                        <a:off x="2232913" y="0"/>
                                        <a:ext cx="6226175" cy="7560000"/>
                                        <a:chOff x="1809" y="1048"/>
                                        <a:chExt cx="9121" cy="14726"/>
                                      </a:xfrm>
                                    </wpg:grpSpPr>
                                    <wps:wsp>
                                      <wps:cNvSpPr/>
                                      <wps:cNvPr id="17" name="Shape 17"/>
                                      <wps:spPr>
                                        <a:xfrm>
                                          <a:off x="1809" y="1048"/>
                                          <a:ext cx="9100" cy="14725"/>
                                        </a:xfrm>
                                        <a:prstGeom prst="rect">
                                          <a:avLst/>
                                        </a:prstGeom>
                                        <a:noFill/>
                                        <a:ln>
                                          <a:noFill/>
                                        </a:ln>
                                      </wps:spPr>
                                      <wps:txbx>
                                        <w:txbxContent>
                                          <w:p w:rsidR="00000000" w:rsidDel="00000000" w:rsidP="00000000" w:rsidRDefault="00000000" w:rsidRPr="00000000">
                                            <w:pPr>
                                              <w:spacing w:after="0" w:before="0" w:line="240"/>
                                              <w:ind w:left="0" w:right="0" w:firstLine="0"/>
                                              <w:jc w:val="left"/>
                                              <w:textDirection w:val="btLr"/>
                                            </w:pPr>
                                          </w:p>
                                        </w:txbxContent>
                                      </wps:txbx>
                                      <wps:bodyPr anchorCtr="0" anchor="ctr" bIns="91425" lIns="91425" spcFirstLastPara="1" rIns="91425" wrap="square" tIns="91425">
                                        <a:noAutofit/>
                                      </wps:bodyPr>
                                    </wps:wsp>
                                    <pic:pic>
                                      <pic:nvPicPr>
                                        <pic:cNvPr id="18" name="Shape 18"/>
                                        <pic:cNvPicPr preferRelativeResize="0"/>
                                      </pic:nvPicPr>
                                      <pic:blipFill rotWithShape="1">
                                        <a:blip r:embed="rId1">
                                          <a:alphaModFix/>
                                        </a:blip>
                                        <a:srcRect b="0" l="0" r="0" t="0"/>
                                        <a:stretch/>
                                      </pic:blipFill>
                                      <pic:spPr>
                                        <a:xfrm>
                                          <a:off x="1809" y="1048"/>
                                          <a:ext cx="2154" cy="2611"/>
                                        </a:xfrm>
                                        <a:prstGeom prst="rect">
                                          <a:avLst/>
                                        </a:prstGeom>
                                        <a:noFill/>
                                        <a:ln>
                                          <a:noFill/>
                                        </a:ln>
                                      </pic:spPr>
                                    </pic:pic>
                                    <pic:pic>
                                      <pic:nvPicPr>
                                        <pic:cNvPr id="19" name="Shape 19"/>
                                        <pic:cNvPicPr preferRelativeResize="0"/>
                                      </pic:nvPicPr>
                                      <pic:blipFill rotWithShape="1">
                                        <a:blip r:embed="rId2">
                                          <a:alphaModFix/>
                                        </a:blip>
                                        <a:srcRect b="0" l="0" r="0" t="0"/>
                                        <a:stretch/>
                                      </pic:blipFill>
                                      <pic:spPr>
                                        <a:xfrm>
                                          <a:off x="8775" y="1048"/>
                                          <a:ext cx="2155" cy="2611"/>
                                        </a:xfrm>
                                        <a:prstGeom prst="rect">
                                          <a:avLst/>
                                        </a:prstGeom>
                                        <a:noFill/>
                                        <a:ln>
                                          <a:noFill/>
                                        </a:ln>
                                      </pic:spPr>
                                    </pic:pic>
                                    <pic:pic>
                                      <pic:nvPicPr>
                                        <pic:cNvPr id="20" name="Shape 20"/>
                                        <pic:cNvPicPr preferRelativeResize="0"/>
                                      </pic:nvPicPr>
                                      <pic:blipFill rotWithShape="1">
                                        <a:blip r:embed="rId3">
                                          <a:alphaModFix/>
                                        </a:blip>
                                        <a:srcRect b="0" l="0" r="0" t="0"/>
                                        <a:stretch/>
                                      </pic:blipFill>
                                      <pic:spPr>
                                        <a:xfrm>
                                          <a:off x="1809" y="13162"/>
                                          <a:ext cx="2154" cy="2612"/>
                                        </a:xfrm>
                                        <a:prstGeom prst="rect">
                                          <a:avLst/>
                                        </a:prstGeom>
                                        <a:noFill/>
                                        <a:ln>
                                          <a:noFill/>
                                        </a:ln>
                                      </pic:spPr>
                                    </pic:pic>
                                    <pic:pic>
                                      <pic:nvPicPr>
                                        <pic:cNvPr id="21" name="Shape 21"/>
                                        <pic:cNvPicPr preferRelativeResize="0"/>
                                      </pic:nvPicPr>
                                      <pic:blipFill rotWithShape="1">
                                        <a:blip r:embed="rId4">
                                          <a:alphaModFix/>
                                        </a:blip>
                                        <a:srcRect b="0" l="0" r="0" t="0"/>
                                        <a:stretch/>
                                      </pic:blipFill>
                                      <pic:spPr>
                                        <a:xfrm>
                                          <a:off x="8775" y="13144"/>
                                          <a:ext cx="2155" cy="2612"/>
                                        </a:xfrm>
                                        <a:prstGeom prst="rect">
                                          <a:avLst/>
                                        </a:prstGeom>
                                        <a:noFill/>
                                        <a:ln>
                                          <a:noFill/>
                                        </a:ln>
                                      </pic:spPr>
                                    </pic:pic>
                                    <wps:wsp>
                                      <wps:cNvCnPr/>
                                      <wps:spPr>
                                        <a:xfrm>
                                          <a:off x="2079" y="3334"/>
                                          <a:ext cx="0" cy="1017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10665" y="3334"/>
                                          <a:ext cx="0" cy="1017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5556"/>
                                          <a:ext cx="5040" cy="0"/>
                                        </a:xfrm>
                                        <a:prstGeom prst="straightConnector1">
                                          <a:avLst/>
                                        </a:prstGeom>
                                        <a:noFill/>
                                        <a:ln cap="flat" cmpd="thickThin" w="95250">
                                          <a:solidFill>
                                            <a:srgbClr val="000000"/>
                                          </a:solidFill>
                                          <a:prstDash val="solid"/>
                                          <a:miter lim="0"/>
                                          <a:headEnd len="sm" w="sm" type="none"/>
                                          <a:tailEnd len="sm" w="sm" type="none"/>
                                        </a:ln>
                                      </wps:spPr>
                                      <wps:bodyPr anchorCtr="0" anchor="ctr" bIns="91425" lIns="91425" spcFirstLastPara="1" rIns="91425" wrap="square" tIns="91425">
                                        <a:noAutofit/>
                                      </wps:bodyPr>
                                    </wps:wsp>
                                    <wps:wsp>
                                      <wps:cNvCnPr/>
                                      <wps:spPr>
                                        <a:xfrm>
                                          <a:off x="3861" y="1264"/>
                                          <a:ext cx="5040" cy="0"/>
                                        </a:xfrm>
                                        <a:prstGeom prst="straightConnector1">
                                          <a:avLst/>
                                        </a:prstGeom>
                                        <a:noFill/>
                                        <a:ln cap="flat" cmpd="thinThick" w="95250">
                                          <a:solidFill>
                                            <a:srgbClr val="000000"/>
                                          </a:solidFill>
                                          <a:prstDash val="solid"/>
                                          <a:miter lim="0"/>
                                          <a:headEnd len="sm" w="sm" type="none"/>
                                          <a:tailEnd len="sm" w="sm" type="none"/>
                                        </a:ln>
                                      </wps:spPr>
                                      <wps:bodyPr anchorCtr="0" anchor="ctr" bIns="91425" lIns="91425" spcFirstLastPara="1" rIns="91425" wrap="square" tIns="91425">
                                        <a:noAutofit/>
                                      </wps:bodyPr>
                                    </wps:wsp>
                                  </wpg:grpSp>
                                  <wps:wsp>
                                    <wps:cNvSpPr/>
                                    <wps:cNvPr id="26" name="Shape 26"/>
                                    <wps:spPr>
                                      <a:xfrm>
                                        <a:off x="2585959" y="616527"/>
                                        <a:ext cx="58284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TRƯỜNG ĐẠI HỌC CÔNG NGHỆ THÔNG TIN – ĐHQG TP. HCM</w:t>
                                          </w:r>
                                        </w:p>
                                      </w:txbxContent>
                                    </wps:txbx>
                                    <wps:bodyPr anchorCtr="0" anchor="t" bIns="91425" lIns="91425" spcFirstLastPara="1" rIns="91425" wrap="square" tIns="91425">
                                      <a:noAutofit/>
                                    </wps:bodyPr>
                                  </wps:wsp>
                                  <wps:wsp>
                                    <wps:cNvSpPr/>
                                    <wps:cNvPr id="27" name="Shape 27"/>
                                    <wps:spPr>
                                      <a:xfrm>
                                        <a:off x="3040772" y="872402"/>
                                        <a:ext cx="4828200" cy="400200"/>
                                      </a:xfrm>
                                      <a:prstGeom prst="rect">
                                        <a:avLst/>
                                      </a:prstGeom>
                                      <a:noFill/>
                                      <a:ln>
                                        <a:noFill/>
                                      </a:ln>
                                    </wps:spPr>
                                    <wps:txbx>
                                      <w:txbxContent>
                                        <w:p w:rsidR="00000000" w:rsidDel="00000000" w:rsidP="00000000" w:rsidRDefault="00000000" w:rsidRPr="00000000">
                                          <w:pPr>
                                            <w:spacing w:after="200" w:before="0" w:line="275.00000953674316"/>
                                            <w:ind w:left="0" w:right="0" w:firstLine="0"/>
                                            <w:jc w:val="center"/>
                                            <w:textDirection w:val="btLr"/>
                                          </w:pPr>
                                          <w:r w:rsidDel="00000000" w:rsidR="00000000" w:rsidRPr="00000000">
                                            <w:rPr>
                                              <w:rFonts w:ascii="Times New Roman" w:cs="Times New Roman" w:eastAsia="Times New Roman" w:hAnsi="Times New Roman"/>
                                              <w:b w:val="1"/>
                                              <w:i w:val="0"/>
                                              <w:smallCaps w:val="0"/>
                                              <w:strike w:val="0"/>
                                              <w:color w:val="000000"/>
                                              <w:sz w:val="28"/>
                                              <w:vertAlign w:val="baseline"/>
                                            </w:rPr>
                                            <w:t xml:space="preserve">TRUNG TÂM PHÁT TRIỂN CÔNG NGHỆ THÔNG TIN</w:t>
                                          </w:r>
                                        </w:p>
                                      </w:txbxContent>
                                    </wps:txbx>
                                    <wps:bodyPr anchorCtr="0" anchor="t" bIns="91425" lIns="91425" spcFirstLastPara="1" rIns="91425" wrap="square" tIns="91425">
                                      <a:noAutofit/>
                                    </wps:bodyPr>
                                  </wps:wsp>
                                </wpg:grpSp>
                              </wpg:grpSp>
                            </wpg:grpSp>
                          </wpg:grpSp>
                        </wpg:grpSp>
                      </wpg:grpSp>
                    </wpg:grpSp>
                  </wpg:wgp>
                </a:graphicData>
              </a:graphic>
            </wp:anchor>
          </w:drawing>
        </mc:Choice>
        <mc:Fallback>
          <w:drawing>
            <wp:anchor allowOverlap="1" behindDoc="0" distB="0" distT="0" distL="114300" distR="114300" hidden="0" layoutInCell="1" locked="0" relativeHeight="0" simplePos="0">
              <wp:simplePos x="0" y="0"/>
              <wp:positionH relativeFrom="column">
                <wp:posOffset>-790565</wp:posOffset>
              </wp:positionH>
              <wp:positionV relativeFrom="paragraph">
                <wp:posOffset>-457190</wp:posOffset>
              </wp:positionV>
              <wp:extent cx="7534275" cy="10653713"/>
              <wp:effectExtent b="0" l="0" r="0" t="0"/>
              <wp:wrapNone/>
              <wp:docPr id="309" name="image29.png" descr="Image: styles.xml"/>
              <a:graphic>
                <a:graphicData uri="http://schemas.openxmlformats.org/drawingml/2006/picture">
                  <pic:pic>
                    <pic:nvPicPr>
                      <pic:cNvPr id="0" name="image29.png"/>
                      <pic:cNvPicPr preferRelativeResize="0"/>
                    </pic:nvPicPr>
                    <pic:blipFill>
                      <a:blip r:embed="rId5"/>
                      <a:srcRect/>
                      <a:stretch>
                        <a:fillRect/>
                      </a:stretch>
                    </pic:blipFill>
                    <pic:spPr>
                      <a:xfrm>
                        <a:off x="0" y="0"/>
                        <a:ext cx="7534275" cy="10653713"/>
                      </a:xfrm>
                      <a:prstGeom prst="rect"/>
                      <a:ln/>
                    </pic:spPr>
                  </pic:pic>
                </a:graphicData>
              </a:graphic>
            </wp:anchor>
          </w:drawing>
        </mc:Fallback>
      </mc:AlternateContent>
    </w:r>
  </w:p>
</w:hdr>
</file>

<file path=word/numbering.xml><?xml version="1.0" encoding="utf-8"?>
<w:numbering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embedTrueTypeFonts w:val="1"/>
  <w:defaultTabStop w:val="720"/>
  <w:compat>
    <w:compatSetting w:val="15" w:name="compatibilityMode" w:uri="http://schemas.microsoft.com/office/word"/>
  </w:compat>
  <w:clrSchemeMapping w:bg1="light1" w:t1="dark1" w:bg2="light2" w:t2="dark2" w:accent1="accent1" w:accent2="accent2" w:accent3="accent3" w:accent4="accent4" w:accent5="accent5" w:accent6="accent6" w:hyperlink="hyperlink" w:followedHyperlink="followedHyperlink"/>
</w:settings>
</file>

<file path=word/styles.xml><?xml version="1.0" encoding="utf-8"?>
<w:styles xmlns:mc="http://schemas.openxmlformats.org/markup-compatibility/2006" xmlns:o="urn:schemas-microsoft-com:office:office" xmlns:r="http://schemas.openxmlformats.org/officeDocument/2006/relationships" xmlns:m="http://schemas.openxmlformats.org/officeDocument/2006/math" xmlns:v="urn:schemas-microsoft-com:vml" xmlns:wp="http://schemas.openxmlformats.org/drawingml/2006/wordprocessingDrawing" xmlns:w10="urn:schemas-microsoft-com:office:word" xmlns:w="http://schemas.openxmlformats.org/wordprocessingml/2006/main" xmlns:wne="http://schemas.microsoft.com/office/word/2006/wordml" xmlns:sl="http://schemas.openxmlformats.org/schemaLibrary/2006/main" xmlns:a="http://schemas.openxmlformats.org/drawingml/2006/main" xmlns:pic="http://schemas.openxmlformats.org/drawingml/2006/picture" xmlns:c="http://schemas.openxmlformats.org/drawingml/2006/chart" xmlns:lc="http://schemas.openxmlformats.org/drawingml/2006/lockedCanvas" xmlns:dgm="http://schemas.openxmlformats.org/drawingml/2006/diagram" xmlns:wps="http://schemas.microsoft.com/office/word/2010/wordprocessingShape" xmlns:wpg="http://schemas.microsoft.com/office/word/2010/wordprocessingGroup" xmlns:w14="http://schemas.microsoft.com/office/word/2010/wordml" xmlns:w15="http://schemas.microsoft.com/office/word/2012/wordml" xmlns:w16="http://schemas.microsoft.com/office/word/2018/wordml" xmlns:w16cex="http://schemas.microsoft.com/office/word/2018/wordml/cex" xmlns:w16cid="http://schemas.microsoft.com/office/word/2016/wordml/cid" xmlns="http://schemas.microsoft.com/office/tasks/2019/documenttasks" xmlns:cr="http://schemas.microsoft.com/office/comments/2020/reactions">
  <w:docDefaults>
    <w:rPrDefault>
      <w:rPr>
        <w:rFonts w:ascii="Arial" w:cs="Arial" w:eastAsia="Arial" w:hAnsi="Arial"/>
        <w:sz w:val="22"/>
        <w:szCs w:val="22"/>
        <w:lang w:val="en"/>
      </w:rPr>
    </w:rPrDefault>
    <w:pPrDefault>
      <w:pPr>
        <w:spacing w:line="276" w:lineRule="auto"/>
      </w:pPr>
    </w:pPrDefault>
  </w:docDefaults>
  <w:style w:type="table" w:styleId="TableNormal" w:default="1">
    <w:name w:val="TableNormal"/>
    <w:tblPr>
      <w:tblCellMar>
        <w:top w:w="100.0" w:type="dxa"/>
        <w:left w:w="100.0" w:type="dxa"/>
        <w:bottom w:w="100.0" w:type="dxa"/>
        <w:right w:w="100.0" w:type="dxa"/>
      </w:tblCellMar>
    </w:tblPr>
  </w:style>
  <w:style w:type="paragraph" w:styleId="Normal" w:default="1">
    <w:name w:val="normal"/>
    <w:pPr>
      <w:spacing w:before="0" w:after="120" w:line="276" w:lineRule="auto"/>
    </w:pPr>
    <w:rPr>
      <w:rFonts w:ascii="Times New Roman" w:hAnsi="Times New Roman"/>
      <w:b w:val="0"/>
      <w:i w:val="0"/>
      <w:color w:val="000000"/>
      <w:sz w:val="24"/>
    </w:rPr>
  </w:style>
  <w:style w:type="paragraph" w:styleId="Heading1">
    <w:name w:val="heading 1"/>
    <w:basedOn w:val="Normal"/>
    <w:next w:val="Normal"/>
    <w:pPr>
      <w:keepNext w:val="1"/>
      <w:keepLines w:val="1"/>
      <w:spacing w:after="160" w:before="360" w:lineRule="auto" w:line="240"/>
    </w:pPr>
    <w:rPr>
      <w:rFonts w:ascii="Times New Roman" w:hAnsi="Times New Roman"/>
      <w:b/>
      <w:i w:val="0"/>
      <w:color w:val="000000"/>
      <w:sz w:val="32"/>
      <w:szCs w:val="40"/>
    </w:rPr>
  </w:style>
  <w:style w:type="paragraph" w:styleId="Heading2">
    <w:name w:val="heading 2"/>
    <w:basedOn w:val="Normal"/>
    <w:next w:val="Normal"/>
    <w:pPr>
      <w:keepNext w:val="1"/>
      <w:keepLines w:val="1"/>
      <w:spacing w:after="120" w:before="240" w:lineRule="auto" w:line="240"/>
    </w:pPr>
    <w:rPr>
      <w:rFonts w:ascii="Times New Roman" w:hAnsi="Times New Roman"/>
      <w:b/>
      <w:i w:val="0"/>
      <w:color w:val="000000"/>
      <w:sz w:val="28"/>
      <w:szCs w:val="32"/>
    </w:rPr>
  </w:style>
  <w:style w:type="paragraph" w:styleId="Heading3">
    <w:name w:val="heading 3"/>
    <w:basedOn w:val="Normal"/>
    <w:next w:val="Normal"/>
    <w:pPr>
      <w:keepNext w:val="1"/>
      <w:keepLines w:val="1"/>
      <w:spacing w:after="80" w:before="160" w:lineRule="auto" w:line="240"/>
    </w:pPr>
    <w:rPr>
      <w:rFonts w:ascii="Times New Roman" w:hAnsi="Times New Roman"/>
      <w:b/>
      <w:i w:val="0"/>
      <w:color w:val="000000"/>
      <w:sz w:val="25"/>
      <w:szCs w:val="28"/>
    </w:rPr>
  </w:style>
  <w:style w:type="paragraph" w:styleId="Heading4">
    <w:name w:val="heading 4"/>
    <w:basedOn w:val="Normal"/>
    <w:next w:val="Normal"/>
    <w:pPr>
      <w:keepNext w:val="1"/>
      <w:keepLines w:val="1"/>
      <w:spacing w:after="60" w:before="120" w:lineRule="auto" w:line="240"/>
    </w:pPr>
    <w:rPr>
      <w:rFonts w:ascii="Times New Roman" w:hAnsi="Times New Roman"/>
      <w:b/>
      <w:i w:val="0"/>
      <w:color w:val="000000"/>
      <w:sz w:val="24"/>
      <w:szCs w:val="24"/>
    </w:rPr>
  </w:style>
  <w:style w:type="paragraph" w:styleId="Heading5">
    <w:name w:val="heading 5"/>
    <w:basedOn w:val="Normal"/>
    <w:next w:val="Normal"/>
    <w:pPr>
      <w:keepNext w:val="1"/>
      <w:keepLines w:val="1"/>
      <w:spacing w:after="80" w:before="240" w:lineRule="auto"/>
    </w:pPr>
    <w:rPr>
      <w:color w:val="666666"/>
    </w:rPr>
  </w:style>
  <w:style w:type="paragraph" w:styleId="Heading6">
    <w:name w:val="heading 6"/>
    <w:basedOn w:val="Normal"/>
    <w:next w:val="Normal"/>
    <w:pPr>
      <w:keepNext w:val="1"/>
      <w:keepLines w:val="1"/>
      <w:spacing w:after="80" w:before="240" w:lineRule="auto"/>
    </w:pPr>
    <w:rPr>
      <w:i w:val="1"/>
      <w:iCs w:val="1"/>
      <w:color w:val="666666"/>
    </w:rPr>
  </w:style>
  <w:style w:type="paragraph" w:styleId="Title">
    <w:name w:val="Title"/>
    <w:basedOn w:val="Normal"/>
    <w:next w:val="Normal"/>
    <w:pPr>
      <w:keepNext w:val="1"/>
      <w:keepLines w:val="1"/>
      <w:spacing w:after="240" w:lineRule="auto" w:before="0" w:line="240"/>
    </w:pPr>
    <w:rPr>
      <w:rFonts w:ascii="Times New Roman" w:hAnsi="Times New Roman"/>
      <w:b/>
      <w:i w:val="0"/>
      <w:color w:val="000000"/>
      <w:sz w:val="32"/>
      <w:szCs w:val="52"/>
    </w:rPr>
  </w:style>
  <w:style w:type="character" w:styleId="DefaultParagraphFont" w:default="1">
    <w:name w:val="Default Paragraph Font"/>
    <w:uiPriority w:val="1"/>
    <w:semiHidden w:val="1"/>
    <w:unhideWhenUsed w:val="1"/>
  </w:style>
  <w:style w:type="table" w:styleId="TableNormal" w:default="1">
    <w:name w:val="Normal Table"/>
    <w:uiPriority w:val="99"/>
    <w:semiHidden w:val="1"/>
    <w:unhideWhenUsed w:val="1"/>
    <w:tblPr>
      <w:tblInd w:w="0.0" w:type="dxa"/>
      <w:tblCellMar>
        <w:top w:w="0.0" w:type="dxa"/>
        <w:left w:w="108.0" w:type="dxa"/>
        <w:bottom w:w="0.0" w:type="dxa"/>
        <w:right w:w="108.0" w:type="dxa"/>
      </w:tblCellMar>
    </w:tblPr>
  </w:style>
  <w:style w:type="numbering" w:styleId="NoList" w:default="1">
    <w:name w:val="No List"/>
    <w:uiPriority w:val="99"/>
    <w:semiHidden w:val="1"/>
    <w:unhideWhenUsed w:val="1"/>
  </w:style>
  <w:style w:type="table" w:styleId="TableNormal0" w:customStyle="1">
    <w:name w:val="TableNormal"/>
    <w:tblPr>
      <w:tblCellMar>
        <w:top w:w="100.0" w:type="dxa"/>
        <w:left w:w="100.0" w:type="dxa"/>
        <w:bottom w:w="100.0" w:type="dxa"/>
        <w:right w:w="100.0" w:type="dxa"/>
      </w:tblCellMar>
    </w:tblPr>
  </w:style>
  <w:style w:type="table" w:styleId="a" w:customStyle="1">
    <w:basedOn w:val="TableNormal0"/>
    <w:tblPr>
      <w:tblStyleRowBandSize w:val="1"/>
      <w:tblStyleColBandSize w:val="1"/>
    </w:tblPr>
  </w:style>
  <w:style w:type="table" w:styleId="a0" w:customStyle="1">
    <w:basedOn w:val="TableNormal0"/>
    <w:tblPr>
      <w:tblStyleRowBandSize w:val="1"/>
      <w:tblStyleColBandSize w:val="1"/>
      <w:tblCellMar>
        <w:top w:w="0.0" w:type="dxa"/>
        <w:left w:w="115.0" w:type="dxa"/>
        <w:bottom w:w="0.0" w:type="dxa"/>
        <w:right w:w="115.0" w:type="dxa"/>
      </w:tblCellMar>
    </w:tblPr>
  </w:style>
  <w:style w:type="table" w:styleId="a1" w:customStyle="1">
    <w:basedOn w:val="TableNormal0"/>
    <w:tblPr>
      <w:tblStyleRowBandSize w:val="1"/>
      <w:tblStyleColBandSize w:val="1"/>
      <w:tblCellMar>
        <w:top w:w="0.0" w:type="dxa"/>
        <w:left w:w="115.0" w:type="dxa"/>
        <w:bottom w:w="0.0" w:type="dxa"/>
        <w:right w:w="115.0" w:type="dxa"/>
      </w:tblCellMar>
    </w:tblPr>
  </w:style>
  <w:style w:type="table" w:styleId="a2" w:customStyle="1">
    <w:basedOn w:val="TableNormal0"/>
    <w:tblPr>
      <w:tblStyleRowBandSize w:val="1"/>
      <w:tblStyleColBandSize w:val="1"/>
      <w:tblCellMar>
        <w:top w:w="0.0" w:type="dxa"/>
        <w:left w:w="115.0" w:type="dxa"/>
        <w:bottom w:w="0.0" w:type="dxa"/>
        <w:right w:w="115.0" w:type="dxa"/>
      </w:tblCellMar>
    </w:tblPr>
  </w:style>
  <w:style w:type="table" w:styleId="a3" w:customStyle="1">
    <w:basedOn w:val="TableNormal0"/>
    <w:tblPr>
      <w:tblStyleRowBandSize w:val="1"/>
      <w:tblStyleColBandSize w:val="1"/>
      <w:tblCellMar>
        <w:top w:w="0.0" w:type="dxa"/>
        <w:left w:w="115.0" w:type="dxa"/>
        <w:bottom w:w="0.0" w:type="dxa"/>
        <w:right w:w="115.0" w:type="dxa"/>
      </w:tblCellMar>
    </w:tblPr>
  </w:style>
  <w:style w:type="table" w:styleId="a4" w:customStyle="1">
    <w:basedOn w:val="TableNormal0"/>
    <w:tblPr>
      <w:tblStyleRowBandSize w:val="1"/>
      <w:tblStyleColBandSize w:val="1"/>
      <w:tblCellMar>
        <w:top w:w="0.0" w:type="dxa"/>
        <w:left w:w="115.0" w:type="dxa"/>
        <w:bottom w:w="0.0" w:type="dxa"/>
        <w:right w:w="115.0" w:type="dxa"/>
      </w:tblCellMar>
    </w:tblPr>
  </w:style>
  <w:style w:type="table" w:styleId="a5" w:customStyle="1">
    <w:basedOn w:val="TableNormal0"/>
    <w:tblPr>
      <w:tblStyleRowBandSize w:val="1"/>
      <w:tblStyleColBandSize w:val="1"/>
      <w:tblCellMar>
        <w:top w:w="0.0" w:type="dxa"/>
        <w:left w:w="115.0" w:type="dxa"/>
        <w:bottom w:w="0.0" w:type="dxa"/>
        <w:right w:w="115.0" w:type="dxa"/>
      </w:tblCellMar>
    </w:tblPr>
  </w:style>
  <w:style w:type="table" w:styleId="a6" w:customStyle="1">
    <w:basedOn w:val="TableNormal0"/>
    <w:tblPr>
      <w:tblStyleRowBandSize w:val="1"/>
      <w:tblStyleColBandSize w:val="1"/>
      <w:tblCellMar>
        <w:top w:w="0.0" w:type="dxa"/>
        <w:left w:w="115.0" w:type="dxa"/>
        <w:bottom w:w="0.0" w:type="dxa"/>
        <w:right w:w="115.0" w:type="dxa"/>
      </w:tblCellMar>
    </w:tblPr>
  </w:style>
  <w:style w:type="table" w:styleId="a7" w:customStyle="1">
    <w:basedOn w:val="TableNormal0"/>
    <w:tblPr>
      <w:tblStyleRowBandSize w:val="1"/>
      <w:tblStyleColBandSize w:val="1"/>
      <w:tblCellMar>
        <w:top w:w="0.0" w:type="dxa"/>
        <w:left w:w="115.0" w:type="dxa"/>
        <w:bottom w:w="0.0" w:type="dxa"/>
        <w:right w:w="115.0" w:type="dxa"/>
      </w:tblCellMar>
    </w:tblPr>
  </w:style>
  <w:style w:type="table" w:styleId="a8" w:customStyle="1">
    <w:basedOn w:val="TableNormal0"/>
    <w:tblPr>
      <w:tblStyleRowBandSize w:val="1"/>
      <w:tblStyleColBandSize w:val="1"/>
      <w:tblCellMar>
        <w:top w:w="0.0" w:type="dxa"/>
        <w:left w:w="115.0" w:type="dxa"/>
        <w:bottom w:w="0.0" w:type="dxa"/>
        <w:right w:w="115.0" w:type="dxa"/>
      </w:tblCellMar>
    </w:tblPr>
  </w:style>
  <w:style w:type="table" w:styleId="a9"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a" w:customStyle="1">
    <w:basedOn w:val="TableNormal0"/>
    <w:pPr>
      <w:spacing w:line="240" w:lineRule="auto"/>
    </w:pPr>
    <w:tblPr>
      <w:tblStyleRowBandSize w:val="1"/>
      <w:tblStyleColBandSize w:val="1"/>
      <w:tblCellMar>
        <w:top w:w="63.0" w:type="dxa"/>
        <w:left w:w="114.0" w:type="dxa"/>
        <w:bottom w:w="0.0" w:type="dxa"/>
        <w:right w:w="36.0" w:type="dxa"/>
      </w:tblCellMar>
    </w:tblPr>
  </w:style>
  <w:style w:type="table" w:styleId="ab"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c"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d"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e"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0" w:customStyle="1">
    <w:basedOn w:val="TableNormal0"/>
    <w:pPr>
      <w:spacing w:line="240" w:lineRule="auto"/>
    </w:pPr>
    <w:tblPr>
      <w:tblStyleRowBandSize w:val="1"/>
      <w:tblStyleColBandSize w:val="1"/>
      <w:tblCellMar>
        <w:top w:w="0.0" w:type="dxa"/>
        <w:left w:w="114.0" w:type="dxa"/>
        <w:bottom w:w="0.0" w:type="dxa"/>
        <w:right w:w="115.0" w:type="dxa"/>
      </w:tblCellMar>
    </w:tblPr>
  </w:style>
  <w:style w:type="table" w:styleId="af1" w:customStyle="1">
    <w:basedOn w:val="TableNormal0"/>
    <w:tblPr>
      <w:tblStyleRowBandSize w:val="1"/>
      <w:tblStyleColBandSize w:val="1"/>
      <w:tblCellMar>
        <w:top w:w="0.0" w:type="dxa"/>
        <w:left w:w="108.0" w:type="dxa"/>
        <w:bottom w:w="0.0" w:type="dxa"/>
        <w:right w:w="108.0" w:type="dxa"/>
      </w:tblCellMar>
    </w:tblPr>
  </w:style>
  <w:style w:type="table" w:styleId="af2" w:customStyle="1">
    <w:basedOn w:val="TableNormal0"/>
    <w:tblPr>
      <w:tblStyleRowBandSize w:val="1"/>
      <w:tblStyleColBandSize w:val="1"/>
      <w:tblCellMar>
        <w:top w:w="0.0" w:type="dxa"/>
        <w:left w:w="108.0" w:type="dxa"/>
        <w:bottom w:w="0.0" w:type="dxa"/>
        <w:right w:w="108.0" w:type="dxa"/>
      </w:tblCellMar>
    </w:tblPr>
  </w:style>
  <w:style w:type="table" w:styleId="af3" w:customStyle="1">
    <w:basedOn w:val="TableNormal0"/>
    <w:tblPr>
      <w:tblStyleRowBandSize w:val="1"/>
      <w:tblStyleColBandSize w:val="1"/>
      <w:tblCellMar>
        <w:top w:w="0.0" w:type="dxa"/>
        <w:left w:w="108.0" w:type="dxa"/>
        <w:bottom w:w="0.0" w:type="dxa"/>
        <w:right w:w="108.0" w:type="dxa"/>
      </w:tblCellMar>
    </w:tblPr>
  </w:style>
  <w:style w:type="table" w:styleId="af4" w:customStyle="1">
    <w:basedOn w:val="TableNormal0"/>
    <w:tblPr>
      <w:tblStyleRowBandSize w:val="1"/>
      <w:tblStyleColBandSize w:val="1"/>
      <w:tblCellMar>
        <w:top w:w="0.0" w:type="dxa"/>
        <w:left w:w="108.0" w:type="dxa"/>
        <w:bottom w:w="0.0" w:type="dxa"/>
        <w:right w:w="108.0" w:type="dxa"/>
      </w:tblCellMar>
    </w:tblPr>
  </w:style>
  <w:style w:type="table" w:styleId="af5" w:customStyle="1">
    <w:basedOn w:val="TableNormal0"/>
    <w:tblPr>
      <w:tblStyleRowBandSize w:val="1"/>
      <w:tblStyleColBandSize w:val="1"/>
      <w:tblCellMar>
        <w:top w:w="0.0" w:type="dxa"/>
        <w:left w:w="108.0" w:type="dxa"/>
        <w:bottom w:w="0.0" w:type="dxa"/>
        <w:right w:w="108.0" w:type="dxa"/>
      </w:tblCellMar>
    </w:tblPr>
  </w:style>
  <w:style w:type="table" w:styleId="af6" w:customStyle="1">
    <w:basedOn w:val="TableNormal0"/>
    <w:tblPr>
      <w:tblStyleRowBandSize w:val="1"/>
      <w:tblStyleColBandSize w:val="1"/>
      <w:tblCellMar>
        <w:top w:w="0.0" w:type="dxa"/>
        <w:left w:w="108.0" w:type="dxa"/>
        <w:bottom w:w="0.0" w:type="dxa"/>
        <w:right w:w="108.0" w:type="dxa"/>
      </w:tblCellMar>
    </w:tblPr>
  </w:style>
  <w:style w:type="table" w:styleId="af7" w:customStyle="1">
    <w:basedOn w:val="TableNormal0"/>
    <w:tblPr>
      <w:tblStyleRowBandSize w:val="1"/>
      <w:tblStyleColBandSize w:val="1"/>
      <w:tblCellMar>
        <w:top w:w="0.0" w:type="dxa"/>
        <w:left w:w="108.0" w:type="dxa"/>
        <w:bottom w:w="0.0" w:type="dxa"/>
        <w:right w:w="108.0" w:type="dxa"/>
      </w:tblCellMar>
    </w:tblPr>
  </w:style>
  <w:style w:type="table" w:styleId="af8" w:customStyle="1">
    <w:basedOn w:val="TableNormal0"/>
    <w:tblPr>
      <w:tblStyleRowBandSize w:val="1"/>
      <w:tblStyleColBandSize w:val="1"/>
      <w:tblCellMar>
        <w:top w:w="0.0" w:type="dxa"/>
        <w:left w:w="108.0" w:type="dxa"/>
        <w:bottom w:w="0.0" w:type="dxa"/>
        <w:right w:w="108.0" w:type="dxa"/>
      </w:tblCellMar>
    </w:tblPr>
  </w:style>
  <w:style w:type="table" w:styleId="af9" w:customStyle="1">
    <w:basedOn w:val="TableNormal0"/>
    <w:tblPr>
      <w:tblStyleRowBandSize w:val="1"/>
      <w:tblStyleColBandSize w:val="1"/>
      <w:tblCellMar>
        <w:top w:w="0.0" w:type="dxa"/>
        <w:left w:w="108.0" w:type="dxa"/>
        <w:bottom w:w="0.0" w:type="dxa"/>
        <w:right w:w="108.0" w:type="dxa"/>
      </w:tblCellMar>
    </w:tblPr>
  </w:style>
  <w:style w:type="table" w:styleId="afa" w:customStyle="1">
    <w:basedOn w:val="TableNormal0"/>
    <w:tblPr>
      <w:tblStyleRowBandSize w:val="1"/>
      <w:tblStyleColBandSize w:val="1"/>
      <w:tblCellMar>
        <w:top w:w="0.0" w:type="dxa"/>
        <w:left w:w="108.0" w:type="dxa"/>
        <w:bottom w:w="0.0" w:type="dxa"/>
        <w:right w:w="108.0" w:type="dxa"/>
      </w:tblCellMar>
    </w:tblPr>
  </w:style>
  <w:style w:type="table" w:styleId="afb" w:customStyle="1">
    <w:basedOn w:val="TableNormal0"/>
    <w:tblPr>
      <w:tblStyleRowBandSize w:val="1"/>
      <w:tblStyleColBandSize w:val="1"/>
      <w:tblCellMar>
        <w:top w:w="0.0" w:type="dxa"/>
        <w:left w:w="108.0" w:type="dxa"/>
        <w:bottom w:w="0.0" w:type="dxa"/>
        <w:right w:w="108.0" w:type="dxa"/>
      </w:tblCellMar>
    </w:tblPr>
  </w:style>
  <w:style w:type="table" w:styleId="afc" w:customStyle="1">
    <w:basedOn w:val="TableNormal0"/>
    <w:tblPr>
      <w:tblStyleRowBandSize w:val="1"/>
      <w:tblStyleColBandSize w:val="1"/>
      <w:tblCellMar>
        <w:top w:w="0.0" w:type="dxa"/>
        <w:left w:w="108.0" w:type="dxa"/>
        <w:bottom w:w="0.0" w:type="dxa"/>
        <w:right w:w="108.0" w:type="dxa"/>
      </w:tblCellMar>
    </w:tblPr>
  </w:style>
  <w:style w:type="table" w:styleId="afd"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e"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0"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1"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2"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3"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4" w:customStyle="1">
    <w:basedOn w:val="TableNormal0"/>
    <w:pPr>
      <w:spacing w:line="240" w:lineRule="auto"/>
    </w:pPr>
    <w:tblPr>
      <w:tblStyleRowBandSize w:val="1"/>
      <w:tblStyleColBandSize w:val="1"/>
      <w:tblCellMar>
        <w:top w:w="0.0" w:type="dxa"/>
        <w:left w:w="108.0" w:type="dxa"/>
        <w:bottom w:w="0.0" w:type="dxa"/>
        <w:right w:w="108.0" w:type="dxa"/>
      </w:tblCellMar>
    </w:tblPr>
  </w:style>
  <w:style w:type="table" w:styleId="aff5" w:customStyle="1">
    <w:basedOn w:val="TableNormal0"/>
    <w:tblPr>
      <w:tblStyleRowBandSize w:val="1"/>
      <w:tblStyleColBandSize w:val="1"/>
    </w:tblPr>
  </w:style>
  <w:style w:type="table" w:styleId="aff6" w:customStyle="1">
    <w:basedOn w:val="TableNormal0"/>
    <w:tblPr>
      <w:tblStyleRowBandSize w:val="1"/>
      <w:tblStyleColBandSize w:val="1"/>
    </w:tblPr>
  </w:style>
  <w:style w:type="table" w:styleId="aff7" w:customStyle="1">
    <w:basedOn w:val="TableNormal0"/>
    <w:tblPr>
      <w:tblStyleRowBandSize w:val="1"/>
      <w:tblStyleColBandSize w:val="1"/>
    </w:tblPr>
  </w:style>
  <w:style w:type="table" w:styleId="aff8" w:customStyle="1">
    <w:basedOn w:val="TableNormal0"/>
    <w:tblPr>
      <w:tblStyleRowBandSize w:val="1"/>
      <w:tblStyleColBandSize w:val="1"/>
    </w:tblPr>
  </w:style>
  <w:style w:type="table" w:styleId="aff9" w:customStyle="1">
    <w:basedOn w:val="TableNormal0"/>
    <w:tblPr>
      <w:tblStyleRowBandSize w:val="1"/>
      <w:tblStyleColBandSize w:val="1"/>
    </w:tblPr>
  </w:style>
  <w:style w:type="table" w:styleId="affa" w:customStyle="1">
    <w:basedOn w:val="TableNormal0"/>
    <w:tblPr>
      <w:tblStyleRowBandSize w:val="1"/>
      <w:tblStyleColBandSize w:val="1"/>
    </w:tblPr>
  </w:style>
  <w:style w:type="table" w:styleId="affb" w:customStyle="1">
    <w:basedOn w:val="TableNormal0"/>
    <w:tblPr>
      <w:tblStyleRowBandSize w:val="1"/>
      <w:tblStyleColBandSize w:val="1"/>
    </w:tblPr>
  </w:style>
  <w:style w:type="table" w:styleId="affc" w:customStyle="1">
    <w:basedOn w:val="TableNormal0"/>
    <w:tblPr>
      <w:tblStyleRowBandSize w:val="1"/>
      <w:tblStyleColBandSize w:val="1"/>
    </w:tblPr>
  </w:style>
  <w:style w:type="table" w:styleId="affd" w:customStyle="1">
    <w:basedOn w:val="TableNormal0"/>
    <w:tblPr>
      <w:tblStyleRowBandSize w:val="1"/>
      <w:tblStyleColBandSize w:val="1"/>
    </w:tblPr>
  </w:style>
  <w:style w:type="table" w:styleId="affe" w:customStyle="1">
    <w:basedOn w:val="TableNormal0"/>
    <w:tblPr>
      <w:tblStyleRowBandSize w:val="1"/>
      <w:tblStyleColBandSize w:val="1"/>
    </w:tblPr>
  </w:style>
  <w:style w:type="table" w:styleId="afff" w:customStyle="1">
    <w:basedOn w:val="TableNormal0"/>
    <w:tblPr>
      <w:tblStyleRowBandSize w:val="1"/>
      <w:tblStyleColBandSize w:val="1"/>
    </w:tblPr>
  </w:style>
  <w:style w:type="table" w:styleId="afff0" w:customStyle="1">
    <w:basedOn w:val="TableNormal0"/>
    <w:tblPr>
      <w:tblStyleRowBandSize w:val="1"/>
      <w:tblStyleColBandSize w:val="1"/>
    </w:tblPr>
  </w:style>
  <w:style w:type="paragraph" w:styleId="Subtitle">
    <w:name w:val="Subtitle"/>
    <w:basedOn w:val="Normal"/>
    <w:next w:val="Normal"/>
    <w:pPr>
      <w:keepNext w:val="1"/>
      <w:keepLines w:val="1"/>
      <w:spacing w:after="320" w:lineRule="auto"/>
    </w:pPr>
    <w:rPr>
      <w:color w:val="666666"/>
      <w:sz w:val="30"/>
      <w:szCs w:val="30"/>
    </w:rPr>
  </w:style>
  <w:style w:type="table" w:styleId="Table1">
    <w:basedOn w:val="TableNormal"/>
    <w:tblPr>
      <w:tblStyleRowBandSize w:val="1"/>
      <w:tblStyleColBandSize w:val="1"/>
    </w:tblPr>
  </w:style>
  <w:style w:type="table" w:styleId="Table2">
    <w:basedOn w:val="TableNormal"/>
    <w:tblPr>
      <w:tblStyleRowBandSize w:val="1"/>
      <w:tblStyleColBandSize w:val="1"/>
    </w:tblPr>
  </w:style>
  <w:style w:type="table" w:styleId="Table3">
    <w:basedOn w:val="TableNormal"/>
    <w:tblPr>
      <w:tblStyleRowBandSize w:val="1"/>
      <w:tblStyleColBandSize w:val="1"/>
    </w:tblPr>
  </w:style>
  <w:style w:type="table" w:styleId="Table4">
    <w:basedOn w:val="TableNormal"/>
    <w:tblPr>
      <w:tblStyleRowBandSize w:val="1"/>
      <w:tblStyleColBandSize w:val="1"/>
    </w:tblPr>
  </w:style>
  <w:style w:type="table" w:styleId="Table5">
    <w:basedOn w:val="TableNormal"/>
    <w:tblPr>
      <w:tblStyleRowBandSize w:val="1"/>
      <w:tblStyleColBandSize w:val="1"/>
    </w:tblPr>
  </w:style>
  <w:style w:type="table" w:styleId="Table6">
    <w:basedOn w:val="TableNormal"/>
    <w:tblPr>
      <w:tblStyleRowBandSize w:val="1"/>
      <w:tblStyleColBandSize w:val="1"/>
    </w:tblPr>
  </w:style>
  <w:style w:type="table" w:styleId="Table7">
    <w:basedOn w:val="TableNormal"/>
    <w:tblPr>
      <w:tblStyleRowBandSize w:val="1"/>
      <w:tblStyleColBandSize w:val="1"/>
    </w:tblPr>
  </w:style>
  <w:style w:type="table" w:styleId="Table8">
    <w:basedOn w:val="TableNormal"/>
    <w:tblPr>
      <w:tblStyleRowBandSize w:val="1"/>
      <w:tblStyleColBandSize w:val="1"/>
    </w:tblPr>
  </w:style>
  <w:style w:type="table" w:styleId="Table9">
    <w:basedOn w:val="TableNormal"/>
    <w:tblPr>
      <w:tblStyleRowBandSize w:val="1"/>
      <w:tblStyleColBandSize w:val="1"/>
    </w:tblPr>
  </w:style>
  <w:style w:type="table" w:styleId="Table10">
    <w:basedOn w:val="TableNormal"/>
    <w:tblPr>
      <w:tblStyleRowBandSize w:val="1"/>
      <w:tblStyleColBandSize w:val="1"/>
    </w:tblPr>
  </w:style>
  <w:style w:type="paragraph" w:customStyle="1" w:styleId="SkeletonPlaceholder">
    <w:name w:val="Skeleton Placeholder"/>
    <w:pPr>
      <w:spacing w:before="40" w:after="100"/>
    </w:pPr>
    <w:rPr>
      <w:rFonts w:ascii="Times New Roman" w:hAnsi="Times New Roman"/>
      <w:i/>
      <w:color w:val="7F7F7F"/>
      <w:sz w:val="22"/>
    </w:rPr>
  </w:style>
  <w:style w:type="paragraph" w:customStyle="1" w:styleId="Caption">
    <w:name w:val="caption"/>
    <w:pPr>
      <w:spacing w:before="80" w:after="80" w:line="240" w:lineRule="auto"/>
    </w:pPr>
    <w:rPr>
      <w:rFonts w:ascii="Times New Roman" w:hAnsi="Times New Roman"/>
      <w:b w:val="0"/>
      <w:i/>
      <w:color w:val="000000"/>
      <w:sz w:val="21"/>
    </w:rPr>
  </w:style>
</w:styles>
</file>

<file path=word/_rels/document.xml.rels><?xml version='1.0' encoding='UTF-8' standalone='yes'?>
<Relationships xmlns="http://schemas.openxmlformats.org/package/2006/relationships"><Relationship Id="rId20" Type="http://schemas.openxmlformats.org/officeDocument/2006/relationships/image" Target="media/image21.png"/><Relationship Id="rId22" Type="http://schemas.openxmlformats.org/officeDocument/2006/relationships/image" Target="media/image7.png"/><Relationship Id="rId21" Type="http://schemas.openxmlformats.org/officeDocument/2006/relationships/image" Target="media/image12.png"/><Relationship Id="rId24" Type="http://schemas.openxmlformats.org/officeDocument/2006/relationships/image" Target="media/image28.png"/><Relationship Id="rId23" Type="http://schemas.openxmlformats.org/officeDocument/2006/relationships/image" Target="media/image22.png"/><Relationship Id="rId1" Type="http://schemas.openxmlformats.org/officeDocument/2006/relationships/theme" Target="theme/theme1.xml"/><Relationship Id="rId2" Type="http://schemas.openxmlformats.org/officeDocument/2006/relationships/settings" Target="settings.xml"/><Relationship Id="rId3" Type="http://schemas.openxmlformats.org/officeDocument/2006/relationships/fontTable" Target="fontTable.xml"/><Relationship Id="rId4" Type="http://schemas.openxmlformats.org/officeDocument/2006/relationships/numbering" Target="numbering.xml"/><Relationship Id="rId9" Type="http://schemas.openxmlformats.org/officeDocument/2006/relationships/header" Target="header2.xml"/><Relationship Id="rId26" Type="http://schemas.openxmlformats.org/officeDocument/2006/relationships/image" Target="media/image26.png"/><Relationship Id="rId25" Type="http://schemas.openxmlformats.org/officeDocument/2006/relationships/image" Target="media/image23.png"/><Relationship Id="rId28" Type="http://schemas.openxmlformats.org/officeDocument/2006/relationships/image" Target="media/image24.png"/><Relationship Id="rId27" Type="http://schemas.openxmlformats.org/officeDocument/2006/relationships/image" Target="media/image27.png"/><Relationship Id="rId5" Type="http://schemas.openxmlformats.org/officeDocument/2006/relationships/styles" Target="styles.xml"/><Relationship Id="rId6" Type="http://schemas.openxmlformats.org/officeDocument/2006/relationships/customXml" Target="../customXML/item1.xml"/><Relationship Id="rId29" Type="http://schemas.openxmlformats.org/officeDocument/2006/relationships/image" Target="media/image25.png"/><Relationship Id="rId7" Type="http://schemas.openxmlformats.org/officeDocument/2006/relationships/image" Target="media/image1.png"/><Relationship Id="rId8" Type="http://schemas.openxmlformats.org/officeDocument/2006/relationships/header" Target="header1.xml"/><Relationship Id="rId31" Type="http://schemas.openxmlformats.org/officeDocument/2006/relationships/image" Target="media/image15.png"/><Relationship Id="rId30" Type="http://schemas.openxmlformats.org/officeDocument/2006/relationships/image" Target="media/image20.png"/><Relationship Id="rId11" Type="http://schemas.openxmlformats.org/officeDocument/2006/relationships/footer" Target="footer2.xml"/><Relationship Id="rId33" Type="http://schemas.openxmlformats.org/officeDocument/2006/relationships/image" Target="media/image4.png"/><Relationship Id="rId10" Type="http://schemas.openxmlformats.org/officeDocument/2006/relationships/footer" Target="footer1.xml"/><Relationship Id="rId32" Type="http://schemas.openxmlformats.org/officeDocument/2006/relationships/image" Target="media/image8.png"/><Relationship Id="rId13" Type="http://schemas.openxmlformats.org/officeDocument/2006/relationships/image" Target="media/image11.png"/><Relationship Id="rId35" Type="http://schemas.openxmlformats.org/officeDocument/2006/relationships/image" Target="media/image14.png"/><Relationship Id="rId12" Type="http://schemas.openxmlformats.org/officeDocument/2006/relationships/image" Target="media/image17.png"/><Relationship Id="rId34" Type="http://schemas.openxmlformats.org/officeDocument/2006/relationships/image" Target="media/image10.png"/><Relationship Id="rId15" Type="http://schemas.openxmlformats.org/officeDocument/2006/relationships/image" Target="media/image16.png"/><Relationship Id="rId37" Type="http://schemas.openxmlformats.org/officeDocument/2006/relationships/image" Target="media/image18.png"/><Relationship Id="rId14" Type="http://schemas.openxmlformats.org/officeDocument/2006/relationships/image" Target="media/image19.png"/><Relationship Id="rId36" Type="http://schemas.openxmlformats.org/officeDocument/2006/relationships/image" Target="media/image13.png"/><Relationship Id="rId17" Type="http://schemas.openxmlformats.org/officeDocument/2006/relationships/image" Target="media/image9.png"/><Relationship Id="rId16" Type="http://schemas.openxmlformats.org/officeDocument/2006/relationships/image" Target="media/image6.png"/><Relationship Id="rId38" Type="http://schemas.openxmlformats.org/officeDocument/2006/relationships/image" Target="media/image3.png"/><Relationship Id="rId19" Type="http://schemas.openxmlformats.org/officeDocument/2006/relationships/image" Target="media/image2.png"/><Relationship Id="rId18" Type="http://schemas.openxmlformats.org/officeDocument/2006/relationships/image" Target="media/image5.png"/></Relationships>
</file>

<file path=word/_rels/fontTable.xml.rels><?xml version='1.0' encoding='UTF-8' standalone='yes'?>
<Relationships xmlns="http://schemas.openxmlformats.org/package/2006/relationships"><Relationship Id="rId1" Type="http://schemas.openxmlformats.org/officeDocument/2006/relationships/font" Target="fonts/Caudex-regular.ttf"/><Relationship Id="rId2" Type="http://schemas.openxmlformats.org/officeDocument/2006/relationships/font" Target="fonts/Caudex-bold.ttf"/><Relationship Id="rId3" Type="http://schemas.openxmlformats.org/officeDocument/2006/relationships/font" Target="fonts/Caudex-italic.ttf"/><Relationship Id="rId4" Type="http://schemas.openxmlformats.org/officeDocument/2006/relationships/font" Target="fonts/Caudex-boldItalic.ttf"/></Relationships>
</file>

<file path=word/_rels/header2.xml.rels><?xml version='1.0' encoding='UTF-8' standalone='yes'?>
<Relationships xmlns="http://schemas.openxmlformats.org/package/2006/relationships"><Relationship Id="rId1" Type="http://schemas.openxmlformats.org/officeDocument/2006/relationships/image" Target="media/image33.png"/><Relationship Id="rId2" Type="http://schemas.openxmlformats.org/officeDocument/2006/relationships/image" Target="media/image30.png"/><Relationship Id="rId3" Type="http://schemas.openxmlformats.org/officeDocument/2006/relationships/image" Target="media/image31.png"/><Relationship Id="rId4" Type="http://schemas.openxmlformats.org/officeDocument/2006/relationships/image" Target="media/image32.png"/><Relationship Id="rId5" Type="http://schemas.openxmlformats.org/officeDocument/2006/relationships/image" Target="media/image29.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go:gDocsCustomXmlDataStorage xmlns:go="http://customooxmlschemas.google.com/" xmlns:r="http://schemas.openxmlformats.org/officeDocument/2006/relationships" uri="GoogleDocsCustomDataVersion2">
  <go:docsCustomData xmlns:go="http://customooxmlschemas.google.com/" roundtripDataSignature="AMtx7mh76QYkbbXDBaub2yrMWrJsfsfzIg==">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</go:docsCustomData>
</go:gDocsCustomXmlDataStorage>
</file>

<file path=customXML/itemProps1.xml><?xml version="1.0" encoding="utf-8"?>
<ds:datastoreItem xmlns:ds="http://schemas.openxmlformats.org/officeDocument/2006/customXml" ds:itemID="{11111111-1234-1234-1234-123412341234}">
  <ds:schemaRefs>
    <ds:schemaRef ds:uri="http://schemas.openxmlformats.org/officeDocument/2006/relationships"/>
    <ds:schemaRef ds:uri="http://customooxmlschemas.google.com/"/>
  </ds:schemaRefs>
</ds:datastoreItem>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erms:created xsi:type="dcterms:W3CDTF">2026-09-02T17:50:00Z</dcterms:created>
</cp:coreProperties>
</file>