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left"/>
      </w:pPr>
      <w:r>
        <w:rPr>
          <w:rFonts w:ascii="Times New Roman" w:hAnsi="Times New Roman"/>
          <w:b/>
          <w:color w:val="000000"/>
          <w:sz w:val="30"/>
        </w:rPr>
        <w:t>1. Mô tả quy trình</w:t>
      </w:r>
    </w:p>
    <w:p>
      <w:pPr>
        <w:spacing w:before="0" w:after="120" w:line="300" w:lineRule="auto"/>
        <w:jc w:val="both"/>
      </w:pPr>
      <w:r>
        <w:rPr>
          <w:rFonts w:ascii="Times New Roman" w:hAnsi="Times New Roman"/>
          <w:color w:val="000000"/>
          <w:sz w:val="24"/>
        </w:rPr>
        <w:t>Quy trình Chăm sóc khách hàng (CSKH) là quy trình trọng yếu trong hoạt động quản trị trải nghiệm khách hàng tại Viettel Post. Quy trình chịu trách nhiệm tiếp nhận, tra cứu, xác minh các khiếu nại phát sinh (chậm giao, thất lạc, hư hỏng) và giải đáp thắc mắc dịch vụ, xử lý đền bù tài chính hoặc phúc tra nhằm bảo vệ quyền lợi hợp pháp của người gửi và người nhận.</w:t>
      </w:r>
    </w:p>
    <w:p>
      <w:pPr>
        <w:spacing w:before="200" w:after="80"/>
        <w:jc w:val="left"/>
      </w:pPr>
      <w:r>
        <w:rPr>
          <w:rFonts w:ascii="Times New Roman" w:hAnsi="Times New Roman"/>
          <w:b/>
          <w:color w:val="000000"/>
          <w:sz w:val="22"/>
        </w:rPr>
        <w:t>Bảng 1.1: Thông tin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4514"/>
        <w:gridCol w:w="4514"/>
      </w:tblGrid>
      <w:tr>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Thuộc tính</w:t>
            </w:r>
          </w:p>
        </w:tc>
        <w:tc>
          <w:tcPr>
            <w:tcW w:type="dxa" w:w="60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Thông tin chi tiết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Tên quy trình</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trình Chăm sóc khách hàng Viettel Post</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Mã quy trình</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QT-VTP-CSKH-01</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Đơn vị chủ trì</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Trung tâm Chăm sóc khách hàng &amp; Phòng Quản lý Chất lượng Viettel Post</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Phạm vi áp dụng</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Toàn bộ tổng đài CSKH, kênh tiếp nhận trực tuyến (App/Web) và bưu cục trên toàn quốc</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Mục tiêu quy trình</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quyết 100% khiếu nại đúng hạn SLA; giảm tỷ lệ nộp lại chứng từ dưới 10%; đạt chỉ số CSAT trên 4.2/5.0</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Thời gian chu kỳ kỳ vọng</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297,75 phút (~ 4,96 giờ làm việc) từ lúc tiếp nhận đến khi nghiệm thu đóng hồ sơ</w:t>
            </w:r>
          </w:p>
        </w:tc>
      </w:tr>
    </w:tbl>
    <w:p>
      <w:pPr>
        <w:spacing w:before="0" w:after="80"/>
      </w:pPr>
    </w:p>
    <w:p>
      <w:pPr>
        <w:spacing w:before="220" w:after="80"/>
        <w:jc w:val="left"/>
      </w:pPr>
      <w:r>
        <w:rPr>
          <w:rFonts w:ascii="Times New Roman" w:hAnsi="Times New Roman"/>
          <w:b/>
          <w:color w:val="000000"/>
          <w:sz w:val="27"/>
        </w:rPr>
        <w:t>1.1. Kiến trúc quy trình</w:t>
      </w:r>
    </w:p>
    <w:p>
      <w:pPr>
        <w:spacing w:before="0" w:after="120" w:line="300" w:lineRule="auto"/>
        <w:jc w:val="both"/>
      </w:pPr>
      <w:r>
        <w:rPr>
          <w:rFonts w:ascii="Times New Roman" w:hAnsi="Times New Roman"/>
          <w:color w:val="000000"/>
          <w:sz w:val="24"/>
        </w:rPr>
        <w:t>Kiến trúc quy trình CSKH gồm 4 khối chức năng chính: (1) Tiếp nhận và kiểm tra tính hợp lệ mã đơn; (2) Thu thập chứng từ và xác minh nguyên nhân thiệt hại; (3) Phân loại luồng xử lý: Tư vấn giải đáp thắc mắc hoặc Lập phiếu chi đền bù / Từ chối bồi thường; (4) Tiếp nhận phản hồi, quản lý phúc tra và chi trả tiền bồi thường.</w:t>
      </w:r>
    </w:p>
    <w:p>
      <w:pPr>
        <w:spacing w:before="80" w:after="40"/>
        <w:jc w:val="center"/>
      </w:pPr>
      <w:r>
        <w:drawing>
          <wp:inline xmlns:a="http://schemas.openxmlformats.org/drawingml/2006/main" xmlns:pic="http://schemas.openxmlformats.org/drawingml/2006/picture">
            <wp:extent cx="5669280" cy="992124"/>
            <wp:docPr id="1" name="Picture 1"/>
            <wp:cNvGraphicFramePr>
              <a:graphicFrameLocks noChangeAspect="1"/>
            </wp:cNvGraphicFramePr>
            <a:graphic>
              <a:graphicData uri="http://schemas.openxmlformats.org/drawingml/2006/picture">
                <pic:pic>
                  <pic:nvPicPr>
                    <pic:cNvPr id="0" name="CSKH_Hinh_3_9_0_KienTrucQuyTrinh.png"/>
                    <pic:cNvPicPr/>
                  </pic:nvPicPr>
                  <pic:blipFill>
                    <a:blip r:embed="rId9"/>
                    <a:stretch>
                      <a:fillRect/>
                    </a:stretch>
                  </pic:blipFill>
                  <pic:spPr>
                    <a:xfrm>
                      <a:off x="0" y="0"/>
                      <a:ext cx="5669280" cy="992124"/>
                    </a:xfrm>
                    <a:prstGeom prst="rect"/>
                  </pic:spPr>
                </pic:pic>
              </a:graphicData>
            </a:graphic>
          </wp:inline>
        </w:drawing>
      </w:r>
    </w:p>
    <w:p>
      <w:pPr>
        <w:spacing w:before="80" w:after="240"/>
        <w:jc w:val="center"/>
      </w:pPr>
      <w:r>
        <w:rPr>
          <w:rFonts w:ascii="Times New Roman" w:hAnsi="Times New Roman"/>
          <w:b/>
          <w:color w:val="000000"/>
          <w:sz w:val="22"/>
        </w:rPr>
        <w:t>Hình 1.1: Sơ đồ kiến trúc quy trình Chăm sóc khách hàng Viettel Post</w:t>
      </w:r>
    </w:p>
    <w:p>
      <w:pPr>
        <w:spacing w:before="220" w:after="80"/>
        <w:jc w:val="left"/>
      </w:pPr>
      <w:r>
        <w:rPr>
          <w:rFonts w:ascii="Times New Roman" w:hAnsi="Times New Roman"/>
          <w:b/>
          <w:color w:val="000000"/>
          <w:sz w:val="27"/>
        </w:rPr>
        <w:t>1.2. Các bước thực hiện</w:t>
      </w:r>
    </w:p>
    <w:p>
      <w:pPr>
        <w:spacing w:before="0" w:after="120" w:line="300" w:lineRule="auto"/>
        <w:jc w:val="both"/>
      </w:pPr>
      <w:r>
        <w:rPr>
          <w:rFonts w:ascii="Times New Roman" w:hAnsi="Times New Roman"/>
          <w:color w:val="000000"/>
          <w:sz w:val="24"/>
        </w:rPr>
        <w:t>Quy trình gồm 14 bước nghiệp vụ hoàn chỉnh, phân bổ trên 2 phân làn chức năng (Lanes: Khách hàng và Bộ phận CSKH):</w:t>
      </w:r>
    </w:p>
    <w:p>
      <w:pPr>
        <w:spacing w:before="200" w:after="80"/>
        <w:jc w:val="left"/>
      </w:pPr>
      <w:r>
        <w:rPr>
          <w:rFonts w:ascii="Times New Roman" w:hAnsi="Times New Roman"/>
          <w:b/>
          <w:color w:val="000000"/>
          <w:sz w:val="22"/>
        </w:rPr>
        <w:t>Bảng 1.2: Các bước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Bước</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bước</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 thực hiện</w:t>
            </w:r>
          </w:p>
        </w:tc>
        <w:tc>
          <w:tcPr>
            <w:tcW w:type="dxa" w:w="331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khiếu nại / thắc mắc [VA]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gửi yêu cầu khiếu nại hoặc thắc mắc cước phí qua App Viettel Post, hotline tổng đài hoặc tại bưu cục.</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và tra cứu mã đơn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Nhân viên CSKH tiếp nhận yêu cầu, tra cứu mã vận đơn trên hệ thống cơ sở dữ liệu TMS/CRM.</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Cung cấp lại mã vận đơn [NVA]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kiểm tra và cung cấp lại mã đơn chính xác khi hệ thống không tìm thấy mã (xác suất 5%).</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thông tin chi tiết đơn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thông tin người gửi, người nhận, hành trình bưu gửi và các hình ảnh chứng từ đính kèm.</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chứng từ khiếu nại [NVA]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chụp ảnh gói hàng, hóa đơn giá trị gia tăng hoặc biên bản bàn giao nộp bổ sung (xác suất 20%).</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6</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nguyên nhân và thiệt hại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liên hệ với bưu cục giao/nhận, kiểm tra camera hành trình và biên bản kiểm hóa để xác định nguyên nhân sự cố.</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7</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Tư vấn và giải đáp thắc mắc [VA]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thích chi tiết về bảng giá cước, chính sách giao nhận hoặc giải đáp các vướng mắc của khách (xác suất 35%).</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8</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phiếu chi đền bù bồi thường [VA]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hồ sơ và duyệt phiếu chi tiền bồi thường khi xác định lỗi thuộc trách nhiệm vận hành của Viettel Post (xác suất 55,25%).</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9</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văn bản từ chối kèm giải trình [BVA]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thông báo từ chối bồi thường nêu rõ căn cứ miễn trừ hoặc lỗi do người gửi/hàng cấm (xác suất 9,75%).</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10</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Thông báo kết quả giải quyết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văn bản kết quả xử lý và thông báo phương án giải quyết đến khách hàng qua App/Email/SMS.</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phản hồi từ khách [BVA]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xem thông báo kết quả và phản hồi đồng thuận hoặc khiếu nại lại phương án bồi thường.</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phúc tra và tái xử lý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Cấp Trưởng nhóm / Quản lý CSKH tiến hành thẩm định lại hồ sơ khi khách hàng chưa đồng ý (xác suất 10%).</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trả tiền bồi thường (nếu có) [VA]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Thực hiện chuyển khoản tiền bồi thường vào tài khoản ngân hàng hoặc ví điện tử của khách hàng.</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Nghiệm thu kết quả và đóng hồ sơ [VA]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xác nhận đã nhận tiền/hài lòng với giải trình, đánh giá dịch vụ và kết thúc quy trình.</w:t>
            </w:r>
          </w:p>
        </w:tc>
      </w:tr>
    </w:tbl>
    <w:p>
      <w:pPr>
        <w:spacing w:before="0" w:after="80"/>
      </w:pPr>
    </w:p>
    <w:p>
      <w:pPr>
        <w:spacing w:before="220" w:after="80"/>
        <w:jc w:val="left"/>
      </w:pPr>
      <w:r>
        <w:rPr>
          <w:rFonts w:ascii="Times New Roman" w:hAnsi="Times New Roman"/>
          <w:b/>
          <w:color w:val="000000"/>
          <w:sz w:val="27"/>
        </w:rPr>
        <w:t>1.3. Các kết quả có thể xảy ra</w:t>
      </w:r>
    </w:p>
    <w:p>
      <w:pPr>
        <w:spacing w:before="0" w:after="120" w:line="300" w:lineRule="auto"/>
        <w:jc w:val="both"/>
      </w:pPr>
      <w:r>
        <w:rPr>
          <w:rFonts w:ascii="Times New Roman" w:hAnsi="Times New Roman"/>
          <w:color w:val="000000"/>
          <w:sz w:val="24"/>
        </w:rPr>
        <w:t>Các kịch bản kết quả đầu ra của quy trình Chăm sóc khách hàng:</w:t>
      </w:r>
    </w:p>
    <w:p>
      <w:pPr>
        <w:spacing w:before="200" w:after="80"/>
        <w:jc w:val="left"/>
      </w:pPr>
      <w:r>
        <w:rPr>
          <w:rFonts w:ascii="Times New Roman" w:hAnsi="Times New Roman"/>
          <w:b/>
          <w:color w:val="000000"/>
          <w:sz w:val="22"/>
        </w:rPr>
        <w:t>Bảng 1.3: Các kết quả có thể xảy ra</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3010"/>
        <w:gridCol w:w="3010"/>
        <w:gridCol w:w="3010"/>
      </w:tblGrid>
      <w:tr>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Nhóm kết quả</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cụ thể</w:t>
            </w:r>
          </w:p>
        </w:tc>
        <w:tc>
          <w:tcPr>
            <w:tcW w:type="dxa" w:w="446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 và kịch bản kết thúc quy trình</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Tích cực (Đền bù)</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trả bồi thường thỏa đáng cho khách hàng</w:t>
            </w:r>
          </w:p>
        </w:tc>
        <w:tc>
          <w:tcPr>
            <w:tcW w:type="dxa" w:w="446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nhận đủ số tiền đền bù thiệt hại đúng hạn cam kết và xác nhận nghiệm thu đóng hồ sơ (chiếm 55,25% tổng số yêu cầu).</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Tích cực (Tư vấn)</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đáp thắc mắc và tư vấn chính sách rõ ràng</w:t>
            </w:r>
          </w:p>
        </w:tc>
        <w:tc>
          <w:tcPr>
            <w:tcW w:type="dxa" w:w="446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được giải thích rõ về cước phí, hành trình bưu gửi hoặc quy định dịch vụ (chiếm 35,00% tổng số yêu cầu).</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Ngoại lệ (Từ chối)</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Từ chối bồi thường kèm văn bản giải trình</w:t>
            </w:r>
          </w:p>
        </w:tc>
        <w:tc>
          <w:tcPr>
            <w:tcW w:type="dxa" w:w="446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Hồ sơ thuộc diện miễn trừ trách nhiệm theo luật bưu chính; CSKH ban hành văn bản giải thích rõ ràng và khách hàng đồng thuận (chiếm 9,75%).</w:t>
            </w:r>
          </w:p>
        </w:tc>
      </w:tr>
    </w:tbl>
    <w:p>
      <w:pPr>
        <w:spacing w:before="0" w:after="80"/>
      </w:pPr>
    </w:p>
    <w:p>
      <w:pPr>
        <w:spacing w:before="280" w:after="120"/>
        <w:jc w:val="left"/>
      </w:pPr>
      <w:r>
        <w:rPr>
          <w:rFonts w:ascii="Times New Roman" w:hAnsi="Times New Roman"/>
          <w:b/>
          <w:color w:val="000000"/>
          <w:sz w:val="30"/>
        </w:rPr>
        <w:t>2. Phương pháp thực hiện</w:t>
      </w:r>
    </w:p>
    <w:p>
      <w:pPr>
        <w:spacing w:before="220" w:after="80"/>
        <w:jc w:val="left"/>
      </w:pPr>
      <w:r>
        <w:rPr>
          <w:rFonts w:ascii="Times New Roman" w:hAnsi="Times New Roman"/>
          <w:b/>
          <w:color w:val="000000"/>
          <w:sz w:val="27"/>
        </w:rPr>
        <w:t>2.1. Dựa trên bằng chứng</w:t>
      </w:r>
    </w:p>
    <w:p>
      <w:pPr>
        <w:spacing w:before="0" w:after="120" w:line="300" w:lineRule="auto"/>
        <w:jc w:val="both"/>
      </w:pPr>
      <w:r>
        <w:rPr>
          <w:rFonts w:ascii="Times New Roman" w:hAnsi="Times New Roman"/>
          <w:color w:val="000000"/>
          <w:sz w:val="24"/>
        </w:rPr>
        <w:t>Danh mục tài liệu, quy chuẩn và minh chứng dữ liệu được áp dụng để chuẩn hóa quy trình CSKH:</w:t>
      </w:r>
    </w:p>
    <w:p>
      <w:pPr>
        <w:spacing w:before="200" w:after="80"/>
        <w:jc w:val="left"/>
      </w:pPr>
      <w:r>
        <w:rPr>
          <w:rFonts w:ascii="Times New Roman" w:hAnsi="Times New Roman"/>
          <w:b/>
          <w:color w:val="000000"/>
          <w:sz w:val="22"/>
        </w:rPr>
        <w:t>Bảng 2.1: Danh mục tài liệu và minh chứng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129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Mã minh chứng</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tài liệu / Văn bản</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Loại tài liệu</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Cơ quan / Đơn vị ban hành</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Mục đích sử dụng trong quy trình</w:t>
            </w:r>
          </w:p>
        </w:tc>
      </w:tr>
      <w:tr>
        <w:tc>
          <w:tcPr>
            <w:tcW w:type="dxa" w:w="129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MC-CSKH-01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định bồi thường thiệt hại dịch vụ chuyển phát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định nội bộ</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Tổng Công ty Bưu chính Viettel</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định trách nhiệm, hạn mức và công thức tính tiền đền bù</w:t>
            </w:r>
          </w:p>
        </w:tc>
      </w:tr>
      <w:tr>
        <w:tc>
          <w:tcPr>
            <w:tcW w:type="dxa" w:w="129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MC-CSKH-02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Bảng giá cước và phụ phí dịch vụ bưu chính</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Văn bản công khai</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Viettel Post</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Căn cứ giải đáp thắc mắc về cước phí và dịch vụ GTGT</w:t>
            </w:r>
          </w:p>
        </w:tc>
      </w:tr>
      <w:tr>
        <w:tc>
          <w:tcPr>
            <w:tcW w:type="dxa" w:w="129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MC-CSKH-03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Nhật ký cuộc gọi và ticket hỗ trợ CRM</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Dữ liệu hệ thống</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Hệ thống CRM Viettel Post</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thời điểm tiếp nhận, nội dung tư vấn và SLA xử lý</w:t>
            </w:r>
          </w:p>
        </w:tc>
      </w:tr>
      <w:tr>
        <w:tc>
          <w:tcPr>
            <w:tcW w:type="dxa" w:w="129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MC-CSKH-04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Biên bản bàn giao và hình ảnh kiểm hóa</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Minh chứng nghiệp vụ</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Trung tâm Khai thác VTP</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Căn cứ xác định mức độ hư hỏng thực tế của hàng hóa</w:t>
            </w:r>
          </w:p>
        </w:tc>
      </w:tr>
      <w:tr>
        <w:tc>
          <w:tcPr>
            <w:tcW w:type="dxa" w:w="129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MC-CSKH-05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Ủy nhiệm chi bồi thường khách hàng</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Chứng từ kế toán</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Phòng Tài chính Kế toán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Minh chứng hoàn tất nghĩa vụ chi trả tiền đền bù</w:t>
            </w:r>
          </w:p>
        </w:tc>
      </w:tr>
    </w:tbl>
    <w:p>
      <w:pPr>
        <w:spacing w:before="0" w:after="80"/>
      </w:pPr>
    </w:p>
    <w:p>
      <w:pPr>
        <w:spacing w:before="160" w:after="60"/>
        <w:jc w:val="left"/>
      </w:pPr>
      <w:r>
        <w:rPr>
          <w:rFonts w:ascii="Times New Roman" w:hAnsi="Times New Roman"/>
          <w:b/>
          <w:color w:val="000000"/>
          <w:sz w:val="25"/>
        </w:rPr>
        <w:t>2.1.1. Sơ đồ tổ chức</w:t>
      </w:r>
    </w:p>
    <w:p>
      <w:pPr>
        <w:spacing w:before="0" w:after="120" w:line="300" w:lineRule="auto"/>
        <w:jc w:val="both"/>
      </w:pPr>
      <w:r>
        <w:rPr>
          <w:rFonts w:ascii="Times New Roman" w:hAnsi="Times New Roman"/>
          <w:color w:val="000000"/>
          <w:sz w:val="24"/>
        </w:rPr>
        <w:t>Quy trình có sự tham gia trực tiếp của 2 chủ thể chính: Khách hàng và Bộ phận Chăm sóc khách hàng Viettel Post (gồm Điện thoại viên, Chuyên viên xử lý khiếu nại và Quản lý phúc tra):</w:t>
      </w:r>
    </w:p>
    <w:p>
      <w:pPr>
        <w:spacing w:before="200" w:after="80"/>
        <w:jc w:val="left"/>
      </w:pPr>
      <w:r>
        <w:rPr>
          <w:rFonts w:ascii="Times New Roman" w:hAnsi="Times New Roman"/>
          <w:b/>
          <w:color w:val="000000"/>
          <w:sz w:val="22"/>
        </w:rPr>
        <w:t>Bảng 2.2: Phân công trách nhiệm theo sơ đồ tổ chức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Vị trí / Tác nhân</w:t>
            </w:r>
          </w:p>
        </w:tc>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Vai trò chính trong quy trình</w:t>
            </w:r>
          </w:p>
        </w:tc>
        <w:tc>
          <w:tcPr>
            <w:tcW w:type="dxa" w:w="388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Nhiệm vụ cụ thể</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Người khiếu nại / Thắc mắc</w:t>
            </w:r>
          </w:p>
        </w:tc>
        <w:tc>
          <w:tcPr>
            <w:tcW w:type="dxa" w:w="388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thông tin đơn, cung cấp chứng từ, tiếp nhận phản hồi và nghiệm thu kết quả.</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Điện thoại viên CSKH</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ban đầu</w:t>
            </w:r>
          </w:p>
        </w:tc>
        <w:tc>
          <w:tcPr>
            <w:tcW w:type="dxa" w:w="388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cuộc gọi/ticket, tra cứu mã đơn, giải đáp thắc mắc cước phí trực tiếp.</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xử lý khiếu nại</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Thẩm định &amp; Bồi thường</w:t>
            </w:r>
          </w:p>
        </w:tc>
        <w:tc>
          <w:tcPr>
            <w:tcW w:type="dxa" w:w="388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lỗi vận hành, lập phiếu chi đền bù hoặc soạn văn bản từ chối giải trình.</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CSKH</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Phúc tra &amp; Phê duyệt</w:t>
            </w:r>
          </w:p>
        </w:tc>
        <w:tc>
          <w:tcPr>
            <w:tcW w:type="dxa" w:w="388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Phúc tra các trường hợp khiếu nại phức tạp khi khách hàng chưa đồng thuận phương án.</w:t>
            </w:r>
          </w:p>
        </w:tc>
      </w:tr>
    </w:tbl>
    <w:p>
      <w:pPr>
        <w:spacing w:before="0" w:after="80"/>
      </w:pPr>
    </w:p>
    <w:p>
      <w:pPr>
        <w:spacing w:before="160" w:after="60"/>
        <w:jc w:val="left"/>
      </w:pPr>
      <w:r>
        <w:rPr>
          <w:rFonts w:ascii="Times New Roman" w:hAnsi="Times New Roman"/>
          <w:b/>
          <w:color w:val="000000"/>
          <w:sz w:val="25"/>
        </w:rPr>
        <w:t>2.1.2. Kế hoạch làm việc</w:t>
      </w:r>
    </w:p>
    <w:p>
      <w:pPr>
        <w:spacing w:before="200" w:after="80"/>
        <w:jc w:val="left"/>
      </w:pPr>
      <w:r>
        <w:rPr>
          <w:rFonts w:ascii="Times New Roman" w:hAnsi="Times New Roman"/>
          <w:b/>
          <w:color w:val="000000"/>
          <w:sz w:val="22"/>
        </w:rPr>
        <w:t>Bảng 2.3: Kế hoạch làm việc theo ca và phân công nhiệm vụ</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Ca làm việc</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Khung giờ</w:t>
            </w:r>
          </w:p>
        </w:tc>
        <w:tc>
          <w:tcPr>
            <w:tcW w:type="dxa" w:w="374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Nhiệm vụ trọng tâm</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 phụ trách</w:t>
            </w:r>
          </w:p>
        </w:tc>
      </w:tr>
      <w:tr>
        <w:tc>
          <w:tcPr>
            <w:tcW w:type="dxa" w:w="172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Ca 1 (Sáng)</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08:00 - 12:00</w:t>
            </w:r>
          </w:p>
        </w:tc>
        <w:tc>
          <w:tcPr>
            <w:tcW w:type="dxa" w:w="374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khiếu nại mới, tra cứu mã đơn, xác minh thiệt hại</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Điện thoại viên &amp; Chuyên viên</w:t>
            </w:r>
          </w:p>
        </w:tc>
      </w:tr>
      <w:tr>
        <w:tc>
          <w:tcPr>
            <w:tcW w:type="dxa" w:w="172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Ca 2 (Chiều)</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13:00 - 17:00</w:t>
            </w:r>
          </w:p>
        </w:tc>
        <w:tc>
          <w:tcPr>
            <w:tcW w:type="dxa" w:w="374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phiếu chi đền bù, phúc tra hồ sơ, chi trả bồi thường</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&amp; Quản lý CSKH</w:t>
            </w:r>
          </w:p>
        </w:tc>
      </w:tr>
      <w:tr>
        <w:tc>
          <w:tcPr>
            <w:tcW w:type="dxa" w:w="172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Ca 3 (Tối)</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17:00 - 21:00</w:t>
            </w:r>
          </w:p>
        </w:tc>
        <w:tc>
          <w:tcPr>
            <w:tcW w:type="dxa" w:w="374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Trực tổng đài khẩn cấp, cập nhật hồ sơ tồn đọng, gửi thông báo</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Trực ban CSKH</w:t>
            </w:r>
          </w:p>
        </w:tc>
      </w:tr>
    </w:tbl>
    <w:p>
      <w:pPr>
        <w:spacing w:before="0" w:after="80"/>
      </w:pPr>
    </w:p>
    <w:p>
      <w:pPr>
        <w:spacing w:before="160" w:after="60"/>
        <w:jc w:val="left"/>
      </w:pPr>
      <w:r>
        <w:rPr>
          <w:rFonts w:ascii="Times New Roman" w:hAnsi="Times New Roman"/>
          <w:b/>
          <w:color w:val="000000"/>
          <w:sz w:val="25"/>
        </w:rPr>
        <w:t>2.1.3. Thuật ngữ và sổ tay</w:t>
      </w:r>
    </w:p>
    <w:p>
      <w:pPr>
        <w:spacing w:before="200" w:after="80"/>
        <w:jc w:val="left"/>
      </w:pPr>
      <w:r>
        <w:rPr>
          <w:rFonts w:ascii="Times New Roman" w:hAnsi="Times New Roman"/>
          <w:b/>
          <w:color w:val="000000"/>
          <w:sz w:val="22"/>
        </w:rPr>
        <w:t>Bảng 2.4: Thuật ngữ và sổ tay của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Thuật ngữ</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tiếng Anh đầy đủ</w:t>
            </w:r>
          </w:p>
        </w:tc>
        <w:tc>
          <w:tcPr>
            <w:tcW w:type="dxa" w:w="316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Ý nghĩa nghiệp vụ</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Tài liệu quy chuẩn áp dụng</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CRM</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Customer Relationship Management</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Hệ thống phần mềm quản lý quan hệ khách hàng</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chuẩn CNTT Viettel Post</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CSAT</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Customer Satisfaction Score</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Điểm số đánh giá mức độ hài lòng khách hàng</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Tiêu chuẩn chất lượng dịch vụ</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FCR</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First Contact Resolution</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khiếu nại/thắc mắc được xử lý ngay lần đầu</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Chỉ số KPI vận hành CSKH</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SLA</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Service Level Agreement</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Cam kết thời gian tối đa giải quyết khiếu nại</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chế bưu chính VTP</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Value-Added</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tạo giá trị trực tiếp cho khách hàng</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Khung phân tích BPM Dumas 2018</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Business Value-Added</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cần thiết cho kiểm soát và tuân thủ</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Khung phân tích BPM Dumas 2018</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Non-Value-Added</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lãng phí do làm lại hoặc chờ đợi</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Khung phân tích BPM Dumas 2018</w:t>
            </w:r>
          </w:p>
        </w:tc>
      </w:tr>
    </w:tbl>
    <w:p>
      <w:pPr>
        <w:spacing w:before="0" w:after="80"/>
      </w:pPr>
    </w:p>
    <w:p>
      <w:pPr>
        <w:spacing w:before="160" w:after="60"/>
        <w:jc w:val="left"/>
      </w:pPr>
      <w:r>
        <w:rPr>
          <w:rFonts w:ascii="Times New Roman" w:hAnsi="Times New Roman"/>
          <w:b/>
          <w:color w:val="000000"/>
          <w:sz w:val="25"/>
        </w:rPr>
        <w:t>2.1.4. Biểu mẫu nghiệp vụ</w:t>
      </w:r>
    </w:p>
    <w:p>
      <w:pPr>
        <w:spacing w:before="200" w:after="80"/>
        <w:jc w:val="left"/>
      </w:pPr>
      <w:r>
        <w:rPr>
          <w:rFonts w:ascii="Times New Roman" w:hAnsi="Times New Roman"/>
          <w:b/>
          <w:color w:val="000000"/>
          <w:sz w:val="22"/>
        </w:rPr>
        <w:t>Bảng 2.5: Biểu mẫu workshop thu thập thông tin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4514"/>
        <w:gridCol w:w="4514"/>
      </w:tblGrid>
      <w:tr>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w:t>
            </w:r>
          </w:p>
        </w:tc>
        <w:tc>
          <w:tcPr>
            <w:tcW w:type="dxa" w:w="60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Chi tiết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Tên workshop</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Thu thập thông tin và chuẩn hóa quy trình Chăm sóc khách hàng</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Thời gian / Địa điểm</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[Ngày/Tháng/Năm] | Trung tâm CSKH Viettel Post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Người chủ trì</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[Họ tên - Giám đốc Trung tâm CSKH]</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Thành phần tham gia</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Trưởng nhóm Tổng đài, Chuyên viên thẩm định bồi thường, Đại diện Vận hành</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Mục tiêu workshop</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điểm nghẽn xác minh lỗi và rút ngắn thời gian xử lý khiếu nại</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Kết quả đầu ra</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Sơ đồ luồng CSKH chuẩn, tiêu chuẩn hóa SLA và chính sách bồi thường</w:t>
            </w:r>
          </w:p>
        </w:tc>
      </w:tr>
    </w:tbl>
    <w:p>
      <w:pPr>
        <w:spacing w:before="0" w:after="80"/>
      </w:pPr>
    </w:p>
    <w:p>
      <w:pPr>
        <w:spacing w:before="200" w:after="80"/>
        <w:jc w:val="left"/>
      </w:pPr>
      <w:r>
        <w:rPr>
          <w:rFonts w:ascii="Times New Roman" w:hAnsi="Times New Roman"/>
          <w:b/>
          <w:color w:val="000000"/>
          <w:sz w:val="22"/>
        </w:rPr>
        <w:t>Bảng 2.6: Biểu mẫu biên bản họp đối soát bồi thường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4514"/>
        <w:gridCol w:w="4514"/>
      </w:tblGrid>
      <w:tr>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w:t>
            </w:r>
          </w:p>
        </w:tc>
        <w:tc>
          <w:tcPr>
            <w:tcW w:type="dxa" w:w="60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Chi tiết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Tiêu đề cuộc họp</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Biên bản họp đối soát và duyệt hạn mức bồi thường khiếu nại</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Thời gian</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[Giờ:Phút] - [Ngày/Tháng/Năm]</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Thành phần</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Đại diện CSKH, Giám sát Khai thác, Kế toán trưởng</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Nội dung thảo luận</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hồ sơ khiếu nại phức tạp, xác định nguyên nhân vỡ hỏng, chốt số tiền đền bù</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Kết luận &amp; Quyết định</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Phê duyệt danh sách chi trả bồi thường và văn bản giải trình từ chối</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Phân công nhiệm vụ</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khoản kế toán - Gửi thông báo khách - Hoàn tất hồ sơ CRM]</w:t>
            </w:r>
          </w:p>
        </w:tc>
      </w:tr>
    </w:tbl>
    <w:p>
      <w:pPr>
        <w:spacing w:before="0" w:after="80"/>
      </w:pPr>
    </w:p>
    <w:p>
      <w:pPr>
        <w:spacing w:before="220" w:after="80"/>
        <w:jc w:val="left"/>
      </w:pPr>
      <w:r>
        <w:rPr>
          <w:rFonts w:ascii="Times New Roman" w:hAnsi="Times New Roman"/>
          <w:b/>
          <w:color w:val="000000"/>
          <w:sz w:val="27"/>
        </w:rPr>
        <w:t>2.2. Phỏng vấn</w:t>
      </w:r>
    </w:p>
    <w:p>
      <w:pPr>
        <w:spacing w:before="200" w:after="80"/>
        <w:jc w:val="left"/>
      </w:pPr>
      <w:r>
        <w:rPr>
          <w:rFonts w:ascii="Times New Roman" w:hAnsi="Times New Roman"/>
          <w:b/>
          <w:color w:val="000000"/>
          <w:sz w:val="22"/>
        </w:rPr>
        <w:t>Bảng 2.7: Đối chiếu actor, BPMN và đối tượng phỏng vấn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 trong mô tả</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Phân làn tương ứng trên BPMN</w:t>
            </w:r>
          </w:p>
        </w:tc>
        <w:tc>
          <w:tcPr>
            <w:tcW w:type="dxa" w:w="345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Chức danh đối tượng phỏng vấn</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KHÁCH HÀNG</w:t>
            </w:r>
          </w:p>
        </w:tc>
        <w:tc>
          <w:tcPr>
            <w:tcW w:type="dxa" w:w="345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cá nhân và Shop gửi hàng</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Điện thoại viên CSKH</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BỘ PHẬN CSKH</w:t>
            </w:r>
          </w:p>
        </w:tc>
        <w:tc>
          <w:tcPr>
            <w:tcW w:type="dxa" w:w="345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Nhân viên tổng đài tiếp nhận khiếu nại</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xử lý</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BỘ PHẬN CSKH</w:t>
            </w:r>
          </w:p>
        </w:tc>
        <w:tc>
          <w:tcPr>
            <w:tcW w:type="dxa" w:w="345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thẩm định bồi thường và đối soát</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CSKH</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BỘ PHẬN CSKH</w:t>
            </w:r>
          </w:p>
        </w:tc>
        <w:tc>
          <w:tcPr>
            <w:tcW w:type="dxa" w:w="345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Trưởng nhóm CSKH phụ trách phúc tra</w:t>
            </w:r>
          </w:p>
        </w:tc>
      </w:tr>
    </w:tbl>
    <w:p>
      <w:pPr>
        <w:spacing w:before="0" w:after="80"/>
      </w:pPr>
    </w:p>
    <w:p>
      <w:pPr>
        <w:spacing w:before="160" w:after="60"/>
        <w:jc w:val="left"/>
      </w:pPr>
      <w:r>
        <w:rPr>
          <w:rFonts w:ascii="Times New Roman" w:hAnsi="Times New Roman"/>
          <w:b/>
          <w:color w:val="000000"/>
          <w:sz w:val="25"/>
        </w:rPr>
        <w:t>2.2.1. Câu hỏi định tính</w:t>
      </w:r>
    </w:p>
    <w:p>
      <w:pPr>
        <w:spacing w:before="200" w:after="80"/>
        <w:jc w:val="left"/>
      </w:pPr>
      <w:r>
        <w:rPr>
          <w:rFonts w:ascii="Times New Roman" w:hAnsi="Times New Roman"/>
          <w:b/>
          <w:color w:val="000000"/>
          <w:sz w:val="22"/>
        </w:rPr>
        <w:t>Bảng 2.8: Ghi nhận câu trả lời cho câu hỏi định tính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 câu hỏi</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Phương án khảo sát</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thực tế</w:t>
            </w:r>
          </w:p>
        </w:tc>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Mức độ hỗ trợ và thái độ phục vụ của nhân viên CSKH?</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Rất tốt | B. Tốt | C. Bình thường | D. Kém</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60% Rất tốt, 30% Tốt, 10% Bình thường</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Kênh nào khách hàng thường sử dụng nhất để gửi khiếu nại?</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App Viettel Post | B. Tổng đài | C. Bưu cục</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 App, 40% Tổng đài, 10% Bưu cục</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Khó khăn lớn nhất khi xác minh nguyên nhân vỡ hỏng/mất mát?</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Thiếu ảnh | B. Chờ kho đối soát | C. Lỗi hệ thống</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 Chờ kho, 35% Thiếu ảnh, 15% Khác</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CSKH</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phản hồi thông tin từ kho khi CSKH yêu cầu đối soát?</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30p | B. 30 - 60p | C. &gt; 60p</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60% Mất từ 30 - 60 phút</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có nhận được thông báo trạng thái xử lý khiếu nại không?</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Có, đầy đủ | B. Chỉ khi có kết quả | C. Không</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75% Đầy đủ, 25% Khi có kết quả</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r>
    </w:tbl>
    <w:p>
      <w:pPr>
        <w:spacing w:before="0" w:after="80"/>
      </w:pPr>
    </w:p>
    <w:p>
      <w:pPr>
        <w:spacing w:before="200" w:after="80"/>
        <w:jc w:val="left"/>
      </w:pPr>
      <w:r>
        <w:rPr>
          <w:rFonts w:ascii="Times New Roman" w:hAnsi="Times New Roman"/>
          <w:b/>
          <w:color w:val="000000"/>
          <w:sz w:val="22"/>
        </w:rPr>
        <w:t>Bảng 2.9: Danh sách câu hỏi định tính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Câu hỏi phỏng vấn mở</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 phỏng vấn</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Mục tiêu tìm hiểu</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Phạm vi khai thác</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Giao diện gửi khiếu nại trên App cần cải tiến điểm gì nhất?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hóa trải nghiệm khách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hướng dẫn chụp ảnh chứng từ</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Những trường hợp khiếu nại nào mất nhiều thời gian xác minh nhất?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CSKH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diện hồ sơ phức tạp</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giá trị cao không khai giá</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pháp nào giúp rút ngắn thời gian đối soát giữa CSKH và Kho?</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&amp; Kho</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Đề xuất cải tiến hệ thống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Tích hợp camera giám sát vào ticket</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Cần bổ sung tính năng gì để tự động hóa tính mức bồi thường?</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CSKH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hóa nghiệp vụ tính toán</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Cài đặt công thức tự động theo loại hàng</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Làm thế nào để nâng cao chỉ số giải quyết ngay lần đầu (FCR)?</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CSKH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Nâng cao chất lượng dịch vụ</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Phân quyền cho điện thoại viên xử lý đền bù nhỏ</w:t>
            </w:r>
          </w:p>
        </w:tc>
      </w:tr>
    </w:tbl>
    <w:p>
      <w:pPr>
        <w:spacing w:before="0" w:after="80"/>
      </w:pPr>
    </w:p>
    <w:p>
      <w:pPr>
        <w:spacing w:before="160" w:after="60"/>
        <w:jc w:val="left"/>
      </w:pPr>
      <w:r>
        <w:rPr>
          <w:rFonts w:ascii="Times New Roman" w:hAnsi="Times New Roman"/>
          <w:b/>
          <w:color w:val="000000"/>
          <w:sz w:val="25"/>
        </w:rPr>
        <w:t>2.2.2. Câu hỏi định lượng</w:t>
      </w:r>
    </w:p>
    <w:p>
      <w:pPr>
        <w:spacing w:before="200" w:after="80"/>
        <w:jc w:val="left"/>
      </w:pPr>
      <w:r>
        <w:rPr>
          <w:rFonts w:ascii="Times New Roman" w:hAnsi="Times New Roman"/>
          <w:b/>
          <w:color w:val="000000"/>
          <w:sz w:val="22"/>
        </w:rPr>
        <w:t>Bảng 2.10: Ghi nhận câu trả lời cho câu hỏi định lượng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 câu hỏi định lượng</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Phương án khảo sát</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thực tế</w:t>
            </w:r>
          </w:p>
        </w:tc>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Số lượng khiếu nại/thắc mắc trung bình một nhân viên xử lý/ngày?</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20 | B. 20 - 40 | C. &gt; 40 đơn</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Trung bình 30 đơn/nhân viên/ngày</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trung bình xử lý một cuộc gọi tư vấn/giải đáp thắc mắc?</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5p | B. 5 - 10p | C. &gt; 10p</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 phút/cuộc gọi tư vấn</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Điện thoại viên</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yêu cầu thuộc nhóm khiếu nại bồi thường chiếm bao nhiêu %?</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50% | B. 50 - 70% | C. &gt; 70%</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65,00% khiếu nại, 35,00% tư vấn</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hồ sơ khiếu nại bị thiếu hoặc sai chứng từ (r)?</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10% | B. 10 - 20% | C. &gt; 20%</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20,00% (Phát sinh bổ sung chứng từ)</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khách hàng đồng thuận phương án bồi thường trong lần đầu?</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&gt; 90% | B. 80 - 90% | C. &lt; 80%</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90,00% đồng thuận, 10,00% phúc tra</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bl>
    <w:p>
      <w:pPr>
        <w:spacing w:before="0" w:after="80"/>
      </w:pPr>
    </w:p>
    <w:p>
      <w:pPr>
        <w:spacing w:before="200" w:after="80"/>
        <w:jc w:val="left"/>
      </w:pPr>
      <w:r>
        <w:rPr>
          <w:rFonts w:ascii="Times New Roman" w:hAnsi="Times New Roman"/>
          <w:b/>
          <w:color w:val="000000"/>
          <w:sz w:val="22"/>
        </w:rPr>
        <w:t>Bảng 2.11: Danh sách câu hỏi định lượng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Câu hỏi phỏng vấn mở</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 phỏng vấn</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Mục tiêu tìm hiểu</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Phạm vi khai thác</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phí nhân công bình quân để xử lý hoàn tất một bộ hồ sơ khiếu nại?</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CSKH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Đo lường chi phí nhân sự</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52.880 VNĐ / hồ sơ</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Bao nhiêu phút trong ca làm việc bị lãng phí do chờ đối soát kho?</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CSKH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định thời gian chờ WT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60 phút WT trong khâu xác minh</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sai mã vận đơn khi khách hàng tự nhập liệu trên ứng dụng?</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Điện thoại viên</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Đo lường xác suất nhánh rẽ</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 (Gán vào cổng Gateway)</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lỗi do trách nhiệm vận hành Viettel Post chiếm bao nhiêu %?</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CSKH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Đo lường xác suất rẽ nhánh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85% lỗi VTP (đền bù), 15% miễn trừ</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Nếu tự động hóa khâu tra cứu mã đơn, tiết kiệm được bao nhiêu thời gian?</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hiệu quả công nghệ</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Tiết kiệm 3 phút/đơn (100% tự động)</w:t>
            </w:r>
          </w:p>
        </w:tc>
      </w:tr>
    </w:tbl>
    <w:p>
      <w:pPr>
        <w:spacing w:before="0" w:after="80"/>
      </w:pPr>
    </w:p>
    <w:p>
      <w:pPr>
        <w:spacing w:before="280" w:after="120"/>
        <w:jc w:val="left"/>
      </w:pPr>
      <w:r>
        <w:rPr>
          <w:rFonts w:ascii="Times New Roman" w:hAnsi="Times New Roman"/>
          <w:b/>
          <w:color w:val="000000"/>
          <w:sz w:val="30"/>
        </w:rPr>
        <w:t>3. Mô hình hóa quy trình</w:t>
      </w:r>
    </w:p>
    <w:p>
      <w:pPr>
        <w:spacing w:before="0" w:after="120" w:line="300" w:lineRule="auto"/>
        <w:jc w:val="both"/>
      </w:pPr>
      <w:r>
        <w:rPr>
          <w:rFonts w:ascii="Times New Roman" w:hAnsi="Times New Roman"/>
          <w:color w:val="000000"/>
          <w:sz w:val="24"/>
        </w:rPr>
        <w:t>Mô hình quy trình Chăm sóc khách hàng Viettel Post được thiết kế chuẩn BPMN 2.0 gồm 2 Swimlanes (Khách hàng và Bộ phận CSKH), 14 Tasks (100% gắn nhãn [VA], [BVA], [NVA]) và 10 Gateways (5 Split có xác suất % và 5 Join gom luồng 1 In - 1 Out):</w:t>
      </w: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quy trình Chăm sóc khách hàng Viettel Post (14 Tasks, 10 Gateways)</w:t>
              <w:br/>
              <w:t>(Import file: QuyTrinhCSKH.bpmn vào demo.bpmn.io -&gt; Zoom vừa khung -&gt; Chụp ảnh dán đè vào vị trí này)</w:t>
            </w:r>
          </w:p>
        </w:tc>
      </w:tr>
    </w:tbl>
    <w:p>
      <w:pPr>
        <w:spacing w:before="80" w:after="240"/>
        <w:jc w:val="center"/>
      </w:pPr>
      <w:r>
        <w:rPr>
          <w:rFonts w:ascii="Times New Roman" w:hAnsi="Times New Roman"/>
          <w:b/>
          <w:color w:val="000000"/>
          <w:sz w:val="22"/>
        </w:rPr>
        <w:t>Hình 3.1: Sơ đồ BPMN Quy trình Chăm sóc khách hàng Viettel Post</w:t>
      </w:r>
    </w:p>
    <w:p>
      <w:pPr>
        <w:spacing w:before="280" w:after="120"/>
        <w:jc w:val="left"/>
      </w:pPr>
      <w:r>
        <w:rPr>
          <w:rFonts w:ascii="Times New Roman" w:hAnsi="Times New Roman"/>
          <w:b/>
          <w:color w:val="000000"/>
          <w:sz w:val="30"/>
        </w:rPr>
        <w:t>4. Phân tích quy trình</w:t>
      </w:r>
    </w:p>
    <w:p>
      <w:pPr>
        <w:spacing w:before="220" w:after="80"/>
        <w:jc w:val="left"/>
      </w:pPr>
      <w:r>
        <w:rPr>
          <w:rFonts w:ascii="Times New Roman" w:hAnsi="Times New Roman"/>
          <w:b/>
          <w:color w:val="000000"/>
          <w:sz w:val="27"/>
        </w:rPr>
        <w:t>4.1. Phân tích định tính</w:t>
      </w:r>
    </w:p>
    <w:p>
      <w:pPr>
        <w:spacing w:before="160" w:after="60"/>
        <w:jc w:val="left"/>
      </w:pPr>
      <w:r>
        <w:rPr>
          <w:rFonts w:ascii="Times New Roman" w:hAnsi="Times New Roman"/>
          <w:b/>
          <w:color w:val="000000"/>
          <w:sz w:val="25"/>
        </w:rPr>
        <w:t>4.1.1. Phân tích giá trị gia tăng</w:t>
      </w:r>
    </w:p>
    <w:p>
      <w:pPr>
        <w:spacing w:before="200" w:after="80"/>
        <w:jc w:val="left"/>
      </w:pPr>
      <w:r>
        <w:rPr>
          <w:rFonts w:ascii="Times New Roman" w:hAnsi="Times New Roman"/>
          <w:b/>
          <w:color w:val="000000"/>
          <w:sz w:val="22"/>
        </w:rPr>
        <w:t>Bảng 4.1: Tiêu chí phân loại giá trị gia tăng theo Dumas (2018)</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3010"/>
        <w:gridCol w:w="3010"/>
        <w:gridCol w:w="3010"/>
      </w:tblGrid>
      <w:tr>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Loại giá trị</w:t>
            </w:r>
          </w:p>
        </w:tc>
        <w:tc>
          <w:tcPr>
            <w:tcW w:type="dxa" w:w="316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Câu hỏi kiểm định theo phương pháp Dumas</w:t>
            </w:r>
          </w:p>
        </w:tc>
        <w:tc>
          <w:tcPr>
            <w:tcW w:type="dxa" w:w="360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Căn cứ phân loại và áp dụng thực tế</w:t>
            </w:r>
          </w:p>
        </w:tc>
      </w:tr>
      <w:tr>
        <w:tc>
          <w:tcPr>
            <w:tcW w:type="dxa" w:w="216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Giá trị gia tăng cho khách hàng (VA)</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có sẵn lòng chi trả cho hoạt động này không? Hoạt động có giải quyết trực tiếp nhu cầu quyền lợi của khách không?</w:t>
            </w:r>
          </w:p>
        </w:tc>
        <w:tc>
          <w:tcPr>
            <w:tcW w:type="dxa" w:w="360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Các hoạt động: gửi khiếu nại, tư vấn giải đáp, lập phiếu chi đền bù, chi trả bồi thường, nghiệm thu đóng hồ sơ.</w:t>
            </w:r>
          </w:p>
        </w:tc>
      </w:tr>
      <w:tr>
        <w:tc>
          <w:tcPr>
            <w:tcW w:type="dxa" w:w="216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Giá trị gia tăng cho doanh nghiệp (BVA)</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có cần thiết cho vận hành, kiểm soát gian lận, đối soát trách nhiệm và tuân thủ quy chế không?</w:t>
            </w:r>
          </w:p>
        </w:tc>
        <w:tc>
          <w:tcPr>
            <w:tcW w:type="dxa" w:w="360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Các hoạt động: tiếp nhận tra cứu mã đơn, kiểm tra chi tiết, xác minh thiệt hại, lập văn bản từ chối, thông báo, phúc tra.</w:t>
            </w:r>
          </w:p>
        </w:tc>
      </w:tr>
      <w:tr>
        <w:tc>
          <w:tcPr>
            <w:tcW w:type="dxa" w:w="216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Không gia tăng giá trị (NVA / Lãng phí)</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có thể loại bỏ nếu hệ thống đầu vào chuẩn xác không?</w:t>
            </w:r>
          </w:p>
        </w:tc>
        <w:tc>
          <w:tcPr>
            <w:tcW w:type="dxa" w:w="360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Các hoạt động làm lại do sai/thiếu thông tin: cung cấp lại mã đơn (sai mã 5%), bổ sung chứng từ khiếu nại (thiếu 20%).</w:t>
            </w:r>
          </w:p>
        </w:tc>
      </w:tr>
    </w:tbl>
    <w:p>
      <w:pPr>
        <w:spacing w:before="0" w:after="80"/>
      </w:pPr>
    </w:p>
    <w:p>
      <w:pPr>
        <w:spacing w:before="200" w:after="80"/>
        <w:jc w:val="left"/>
      </w:pPr>
      <w:r>
        <w:rPr>
          <w:rFonts w:ascii="Times New Roman" w:hAnsi="Times New Roman"/>
          <w:b/>
          <w:color w:val="000000"/>
          <w:sz w:val="22"/>
        </w:rPr>
        <w:t>Bảng 4.2: Phân tích giá trị gia tăng toàn bộ 14 bước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57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Bước</w:t>
            </w:r>
          </w:p>
        </w:tc>
        <w:tc>
          <w:tcPr>
            <w:tcW w:type="dxa" w:w="230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hoạt động (Step/Task)</w:t>
            </w:r>
          </w:p>
        </w:tc>
        <w:tc>
          <w:tcPr>
            <w:tcW w:type="dxa" w:w="129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w:t>
            </w:r>
          </w:p>
        </w:tc>
        <w:tc>
          <w:tcPr>
            <w:tcW w:type="dxa" w:w="86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Phân loại</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cải tiến</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khiếu nại / thắc mắc [VA]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Khởi tạo yêu cầu trên App/Tổng đài</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form nhập ticket thông minh</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và tra cứu mã đơn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Tra cứu mã vận đơn trên phần mềm CRM</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hiển thị lịch trình theo SĐT</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Cung cấp lại mã vận đơn [NVA]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Nhập lại mã do gõ sai (xác suất 5%)</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Gợi ý danh sách đơn hàng gần nhất</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thông tin chi tiết đơn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ảnh chụp và trạng thái giao nhận</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Tích hợp dữ liệu hình ảnh từ App bưu tá</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chứng từ khiếu nại [NVA]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Tải lên thêm hóa đơn/ảnh do nộp thiếu (20%)</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Bắt buộc đính kèm đủ chứng từ khi tạo</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nguyên nhân và thiệt hại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Đối soát nguyên nhân vỡ hỏng với Kho/Bưu tá</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Xem trực tiếp camera điểm kiểm hóa</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Tư vấn và giải đáp thắc mắc [VA]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thích bảng giá cước, chính sách dịch vụ</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Ứng dụng AI Chatbot hỗ trợ 24/7</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phiếu chi đền bù [VA]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phiếu duyệt tiền bồi thường (lỗi VTP 85%)</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tính số tiền đền bù theo rule</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văn bản từ chối giải trình [BVA]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Soạn văn bản từ chối nêu rõ căn cứ miễn trừ</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Áp dụng mẫu văn bản điện tử tự động</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Thông báo kết quả giải quyết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kết quả giải quyết qua App/Email/SMS</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tin nhắn đa kênh tự động Zalo/SMS</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11</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phản hồi từ khách [BVA]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xem và phản hồi đồng thuận</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xác nhận 1 chạm trên App</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12</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phúc tra và tái xử lý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Trưởng nhóm thẩm định lại (khách chưa đồng ý 10%)</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Phân tích nguyên nhân khiếu nại cấp 2</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13</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trả tiền bồi thường [VA]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khoản tiền đền bù cho khách hàng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kết cổng thanh toán tự động</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14</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Nghiệm thu kết quả và đóng hồ sơ [VA]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nhận tiền, đánh giá sao và đóng đơn</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Khảo sát CSAT tự động sau khi đóng</w:t>
            </w:r>
          </w:p>
        </w:tc>
      </w:tr>
    </w:tbl>
    <w:p>
      <w:pPr>
        <w:spacing w:before="0" w:after="80"/>
      </w:pPr>
    </w:p>
    <w:p>
      <w:pPr>
        <w:spacing w:before="0" w:after="120" w:line="300" w:lineRule="auto"/>
        <w:jc w:val="both"/>
      </w:pPr>
      <w:r>
        <w:rPr>
          <w:rFonts w:ascii="Times New Roman" w:hAnsi="Times New Roman"/>
          <w:color w:val="000000"/>
          <w:sz w:val="24"/>
        </w:rPr>
        <w:t>Tổng kết: Quy trình gồm 5 bước VA (35,71%), 7 bước BVA (50,00%) và 2 bước NVA (14,29%).</w:t>
      </w: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gắn nhãn giá trị gia tăng (VA / BVA / NVA) — CSKH</w:t>
              <w:br/>
              <w:t>(Import file: QuyTrinhCSKH_GiaTriGiaTang.bpmn vào demo.bpmn.io -&gt; Zoom vừa khung -&gt; Chụp ảnh dán đè vào vị trí này)</w:t>
            </w:r>
          </w:p>
        </w:tc>
      </w:tr>
    </w:tbl>
    <w:p>
      <w:pPr>
        <w:spacing w:before="80" w:after="240"/>
        <w:jc w:val="center"/>
      </w:pPr>
      <w:r>
        <w:rPr>
          <w:rFonts w:ascii="Times New Roman" w:hAnsi="Times New Roman"/>
          <w:b/>
          <w:color w:val="000000"/>
          <w:sz w:val="22"/>
        </w:rPr>
        <w:t>Hình 4.1: Sơ đồ BPMN - Phân tích giá trị gia tăng quy trình Chăm sóc khách hàng</w:t>
      </w:r>
    </w:p>
    <w:p>
      <w:pPr>
        <w:spacing w:before="160" w:after="60"/>
        <w:jc w:val="left"/>
      </w:pPr>
      <w:r>
        <w:rPr>
          <w:rFonts w:ascii="Times New Roman" w:hAnsi="Times New Roman"/>
          <w:b/>
          <w:color w:val="000000"/>
          <w:sz w:val="25"/>
        </w:rPr>
        <w:t>4.1.2. Phân tích lãng phí</w:t>
      </w:r>
    </w:p>
    <w:p>
      <w:pPr>
        <w:spacing w:before="200" w:after="80"/>
        <w:jc w:val="left"/>
      </w:pPr>
      <w:r>
        <w:rPr>
          <w:rFonts w:ascii="Times New Roman" w:hAnsi="Times New Roman"/>
          <w:b/>
          <w:color w:val="000000"/>
          <w:sz w:val="22"/>
        </w:rPr>
        <w:t>Bảng 4.3: Phân tích các loại lãng phí trong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Nhóm lãng phí</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Loại lãng phí (Lean 7 Wastes)</w:t>
            </w:r>
          </w:p>
        </w:tc>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Bằng chứng thực tế trong quy trình</w:t>
            </w:r>
          </w:p>
        </w:tc>
        <w:tc>
          <w:tcPr>
            <w:tcW w:type="dxa" w:w="24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cải tiến đề xuất</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Chờ đợi (Hold)</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W1: Waiting (Chờ đối soát kho)</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Chuyên viên CSKH mất 60 phút chờ Kho phản hồi kết quả kiểm tra camera.</w:t>
            </w:r>
          </w:p>
        </w:tc>
        <w:tc>
          <w:tcPr>
            <w:tcW w:type="dxa" w:w="24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Phân quyền cho CSKH xem trực tiếp camera bưu cục</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Lỗi / Làm lại (Over-Do)</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W2: Defects (Thiếu chứng từ khiếu nại)</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 hồ sơ khiếu nại thiếu ảnh kiện hàng vỡ khiến khách phải chụp lại.</w:t>
            </w:r>
          </w:p>
        </w:tc>
        <w:tc>
          <w:tcPr>
            <w:tcW w:type="dxa" w:w="24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Thiết lập checklist bắt buộc trên giao diện App</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Làm quá mức (Over-Do)</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W3: Over-processing (Tra cứu lặp lại)</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Nhân viên CSKH phải tra cứu mã đơn lặp lại trên cả CRM, TMS và WMS.</w:t>
            </w:r>
          </w:p>
        </w:tc>
        <w:tc>
          <w:tcPr>
            <w:tcW w:type="dxa" w:w="24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Đồng bộ dữ liệu tập trung trên một giao diện duy nhất</w:t>
            </w:r>
          </w:p>
        </w:tc>
      </w:tr>
    </w:tbl>
    <w:p>
      <w:pPr>
        <w:spacing w:before="0" w:after="80"/>
      </w:pP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phân tích lãng phí (Waste Analysis) — CSKH</w:t>
              <w:br/>
              <w:t>(Import file: QuyTrinhCSKH_Waste.bpmn vào demo.bpmn.io -&gt; Zoom vừa khung -&gt; Chụp ảnh dán đè vào vị trí này)</w:t>
            </w:r>
          </w:p>
        </w:tc>
      </w:tr>
    </w:tbl>
    <w:p>
      <w:pPr>
        <w:spacing w:before="80" w:after="240"/>
        <w:jc w:val="center"/>
      </w:pPr>
      <w:r>
        <w:rPr>
          <w:rFonts w:ascii="Times New Roman" w:hAnsi="Times New Roman"/>
          <w:b/>
          <w:color w:val="000000"/>
          <w:sz w:val="22"/>
        </w:rPr>
        <w:t>Hình 4.2: Sơ đồ BPMN - Phân tích lãng phí quy trình Chăm sóc khách hàng</w:t>
      </w:r>
    </w:p>
    <w:p>
      <w:pPr>
        <w:spacing w:before="160" w:after="60"/>
        <w:jc w:val="left"/>
      </w:pPr>
      <w:r>
        <w:rPr>
          <w:rFonts w:ascii="Times New Roman" w:hAnsi="Times New Roman"/>
          <w:b/>
          <w:color w:val="000000"/>
          <w:sz w:val="25"/>
        </w:rPr>
        <w:t>4.1.3. Phân tích các bên liên quan và xác định nguyên nhân gốc rễ</w:t>
      </w:r>
    </w:p>
    <w:p>
      <w:pPr>
        <w:spacing w:before="200" w:after="80"/>
        <w:jc w:val="left"/>
      </w:pPr>
      <w:r>
        <w:rPr>
          <w:rFonts w:ascii="Times New Roman" w:hAnsi="Times New Roman"/>
          <w:b/>
          <w:color w:val="000000"/>
          <w:sz w:val="22"/>
        </w:rPr>
        <w:t>Bảng 4.4: Phân tích các bên liên quan trong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Nhóm liên quan</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Vai trò trong quy trình</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Mối quan tâm chính</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Vấn đề / Yếu kém tiềm năng</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động đến hiệu năng quy trình</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 Khách hàng</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Người khiếu nại / Thụ hưởng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Khiếu nại được xử lý nhanh, minh bạch, nhận tiền đền bù đúng hạn.</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Phải bổ sung chứng từ nhiều lần do hướng dẫn chưa rõ ràng.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Gây bức xúc, giảm tỷ lệ giữ chân khách hàng.</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 Bộ phận CSKH</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&amp; Giải quyết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thông tin đầy đủ, xác minh lỗi nhanh, đạt chỉ số SLA.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Tốn nhiều thời gian gọi điện thủ công để đối soát nguyên nhân với Kho.</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Kéo dài thời gian chu kỳ và phát sinh chi phí nhân sự.</w:t>
            </w:r>
          </w:p>
        </w:tc>
      </w:tr>
    </w:tbl>
    <w:p>
      <w:pPr>
        <w:spacing w:before="0" w:after="80"/>
      </w:pPr>
    </w:p>
    <w:p>
      <w:pPr>
        <w:spacing w:before="120" w:after="40"/>
        <w:jc w:val="left"/>
      </w:pPr>
      <w:r>
        <w:rPr>
          <w:rFonts w:ascii="Times New Roman" w:hAnsi="Times New Roman"/>
          <w:b/>
          <w:color w:val="000000"/>
          <w:sz w:val="24"/>
        </w:rPr>
        <w:t>4.1.3.1. Sổ theo dõi vấn đề (Issue register)</w:t>
      </w:r>
    </w:p>
    <w:p>
      <w:pPr>
        <w:spacing w:before="200" w:after="80"/>
        <w:jc w:val="left"/>
      </w:pPr>
      <w:r>
        <w:rPr>
          <w:rFonts w:ascii="Times New Roman" w:hAnsi="Times New Roman"/>
          <w:b/>
          <w:color w:val="000000"/>
          <w:sz w:val="22"/>
        </w:rPr>
        <w:t>Bảng 4.5: Sổ theo dõi vấn đề (Issue register)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Mã vấn đề</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vấn đề</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 vấn đề</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động định tính</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động định lượng</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cải tiến đề xuất</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ISS-CSKH-01</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Chờ xác minh thiệt hại</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Chờ phản hồi kiểm hóa từ Kho mất 60 phút</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Kéo dài thời gian giải quyết khiếu nại</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Tăng thời gian chờ WT lên 60 phút</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thông dữ liệu camera và biên bản kho</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ISS-CSKH-02</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Thiếu ảnh chứng từ</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 đơn khiếu nại thiếu ảnh hàng hóa bị vỡ hỏng</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phải chụp ảnh bổ sung nhiều lần</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Gây ra vòng lặp làm lại 10 phút/đơn</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Ràng buộc nộp đủ ảnh trên App</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ISS-CSKH-03</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chưa đồng thuận kết quả</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 khách hàng không đồng ý với mức đền bù ban đầu</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Hồ sơ phải chuyển lên cấp Quản lý phúc tra</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Phát sinh 15 phút xử lý phúc tra cấp 2</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Chuẩn hóa bảng tính đền bù minh bạch</w:t>
            </w:r>
          </w:p>
        </w:tc>
      </w:tr>
    </w:tbl>
    <w:p>
      <w:pPr>
        <w:spacing w:before="0" w:after="80"/>
      </w:pPr>
    </w:p>
    <w:p>
      <w:pPr>
        <w:spacing w:before="120" w:after="40"/>
        <w:jc w:val="left"/>
      </w:pPr>
      <w:r>
        <w:rPr>
          <w:rFonts w:ascii="Times New Roman" w:hAnsi="Times New Roman"/>
          <w:b/>
          <w:color w:val="000000"/>
          <w:sz w:val="24"/>
        </w:rPr>
        <w:t>4.1.3.2. Phân tích nguyên nhân gốc rễ (5 Whys)</w:t>
      </w:r>
    </w:p>
    <w:p>
      <w:pPr>
        <w:spacing w:before="0" w:after="120" w:line="300" w:lineRule="auto"/>
        <w:jc w:val="both"/>
      </w:pPr>
      <w:r>
        <w:rPr>
          <w:rFonts w:ascii="Times New Roman" w:hAnsi="Times New Roman"/>
          <w:color w:val="000000"/>
          <w:sz w:val="24"/>
        </w:rPr>
        <w:t>Áp dụng phương pháp 5 Whys phân tích sâu nguyên nhân gốc rễ của 2 vấn đề lãng phí trọng tâm:</w:t>
      </w:r>
    </w:p>
    <w:p>
      <w:pPr>
        <w:spacing w:before="0" w:after="120" w:line="300" w:lineRule="auto"/>
        <w:jc w:val="both"/>
      </w:pPr>
      <w:r>
        <w:rPr>
          <w:rFonts w:ascii="Times New Roman" w:hAnsi="Times New Roman"/>
          <w:color w:val="000000"/>
          <w:sz w:val="24"/>
        </w:rPr>
        <w:t>• Phân tích vấn đề: Thời gian chờ xác minh khiếu nại kéo dài</w:t>
      </w:r>
    </w:p>
    <w:p>
      <w:pPr>
        <w:spacing w:before="80" w:after="40"/>
        <w:jc w:val="center"/>
      </w:pPr>
      <w:r>
        <w:drawing>
          <wp:inline xmlns:a="http://schemas.openxmlformats.org/drawingml/2006/main" xmlns:pic="http://schemas.openxmlformats.org/drawingml/2006/picture">
            <wp:extent cx="5669280" cy="1889760"/>
            <wp:docPr id="2" name="Picture 2"/>
            <wp:cNvGraphicFramePr>
              <a:graphicFrameLocks noChangeAspect="1"/>
            </wp:cNvGraphicFramePr>
            <a:graphic>
              <a:graphicData uri="http://schemas.openxmlformats.org/drawingml/2006/picture">
                <pic:pic>
                  <pic:nvPicPr>
                    <pic:cNvPr id="0" name="CSKH_Hinh_3_9_2_WhyWhy_ThoiGianChoXacMinh.png"/>
                    <pic:cNvPicPr/>
                  </pic:nvPicPr>
                  <pic:blipFill>
                    <a:blip r:embed="rId10"/>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4.3a: Sơ đồ Why-Why — Thời gian chờ xác minh khiếu nại</w:t>
      </w:r>
    </w:p>
    <w:p>
      <w:pPr>
        <w:spacing w:before="0" w:after="120" w:line="300" w:lineRule="auto"/>
        <w:jc w:val="both"/>
      </w:pPr>
      <w:r>
        <w:rPr>
          <w:rFonts w:ascii="Times New Roman" w:hAnsi="Times New Roman"/>
          <w:color w:val="000000"/>
          <w:sz w:val="24"/>
        </w:rPr>
        <w:t>• Phân tích vấn đề: Sai sót chứng từ khiếu nại phải nộp bổ sung</w:t>
      </w:r>
    </w:p>
    <w:p>
      <w:pPr>
        <w:spacing w:before="80" w:after="40"/>
        <w:jc w:val="center"/>
      </w:pPr>
      <w:r>
        <w:drawing>
          <wp:inline xmlns:a="http://schemas.openxmlformats.org/drawingml/2006/main" xmlns:pic="http://schemas.openxmlformats.org/drawingml/2006/picture">
            <wp:extent cx="5669280" cy="1889760"/>
            <wp:docPr id="3" name="Picture 3"/>
            <wp:cNvGraphicFramePr>
              <a:graphicFrameLocks noChangeAspect="1"/>
            </wp:cNvGraphicFramePr>
            <a:graphic>
              <a:graphicData uri="http://schemas.openxmlformats.org/drawingml/2006/picture">
                <pic:pic>
                  <pic:nvPicPr>
                    <pic:cNvPr id="0" name="CSKH_Hinh_3_9_3_WhyWhy_SaiSotChungTuKhieuNai.png"/>
                    <pic:cNvPicPr/>
                  </pic:nvPicPr>
                  <pic:blipFill>
                    <a:blip r:embed="rId11"/>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4.3b: Sơ đồ Why-Why — Sai sót chứng từ khiếu nại nộp bổ sung</w:t>
      </w:r>
    </w:p>
    <w:p>
      <w:pPr>
        <w:spacing w:before="220" w:after="80"/>
        <w:jc w:val="left"/>
      </w:pPr>
      <w:r>
        <w:rPr>
          <w:rFonts w:ascii="Times New Roman" w:hAnsi="Times New Roman"/>
          <w:b/>
          <w:color w:val="000000"/>
          <w:sz w:val="27"/>
        </w:rPr>
        <w:t>4.2. Phân tích định lượng</w:t>
      </w:r>
    </w:p>
    <w:p>
      <w:pPr>
        <w:spacing w:before="160" w:after="60"/>
        <w:jc w:val="left"/>
      </w:pPr>
      <w:r>
        <w:rPr>
          <w:rFonts w:ascii="Times New Roman" w:hAnsi="Times New Roman"/>
          <w:b/>
          <w:color w:val="000000"/>
          <w:sz w:val="25"/>
        </w:rPr>
        <w:t>4.2.1. Phân tích thời gian</w:t>
      </w:r>
    </w:p>
    <w:p>
      <w:pPr>
        <w:spacing w:before="0" w:after="120" w:line="300" w:lineRule="auto"/>
        <w:jc w:val="both"/>
      </w:pPr>
      <w:r>
        <w:rPr>
          <w:rFonts w:ascii="Times New Roman" w:hAnsi="Times New Roman"/>
          <w:color w:val="000000"/>
          <w:sz w:val="24"/>
        </w:rPr>
        <w:t>Sơ đồ BPMN định lượng gắn kèm các thông số thời gian xử lý thực tế (PT), thời gian chờ (WT), chi phí nhân sự và xác suất rẽ nhánh (%) trên từng hoạt động:</w:t>
      </w: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định lượng thời gian và xác suất — Chăm sóc khách hàng</w:t>
              <w:br/>
              <w:t>(Import file: QuyTrinhCSKH_DinhLuong.bpmn vào demo.bpmn.io -&gt; Zoom vừa khung -&gt; Chụp ảnh dán đè vào vị trí này)</w:t>
            </w:r>
          </w:p>
        </w:tc>
      </w:tr>
    </w:tbl>
    <w:p>
      <w:pPr>
        <w:spacing w:before="80" w:after="240"/>
        <w:jc w:val="center"/>
      </w:pPr>
      <w:r>
        <w:rPr>
          <w:rFonts w:ascii="Times New Roman" w:hAnsi="Times New Roman"/>
          <w:b/>
          <w:color w:val="000000"/>
          <w:sz w:val="22"/>
        </w:rPr>
        <w:t>Hình 4.4: Sơ đồ BPMN - Phân tích định lượng quy trình Chăm sóc khách hàng</w:t>
      </w:r>
    </w:p>
    <w:p>
      <w:pPr>
        <w:spacing w:before="200" w:after="80"/>
        <w:jc w:val="left"/>
      </w:pPr>
      <w:r>
        <w:rPr>
          <w:rFonts w:ascii="Times New Roman" w:hAnsi="Times New Roman"/>
          <w:b/>
          <w:color w:val="000000"/>
          <w:sz w:val="22"/>
        </w:rPr>
        <w:t>Bảng 4.6: Phân tích thời gian chi tiết các hoạt động trong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290"/>
        <w:gridCol w:w="1290"/>
        <w:gridCol w:w="1290"/>
        <w:gridCol w:w="1290"/>
        <w:gridCol w:w="1290"/>
        <w:gridCol w:w="1290"/>
        <w:gridCol w:w="1290"/>
      </w:tblGrid>
      <w:tr>
        <w:tc>
          <w:tcPr>
            <w:tcW w:type="dxa" w:w="57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Hạng mục hoạt động / Vòng lặp quy trình</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xử lý PT (phút)</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chờ WT (phút)</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chu kỳ CT (phút)</w:t>
            </w:r>
          </w:p>
        </w:tc>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vị đo</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Phương pháp tính toán và Diễn giải căn cứ nghiệp vụ</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khiếu nại / thắc mắc</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tạo ticket trên App</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và tra cứu mã đơn</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tra cứu mã vận đơn trên CRM</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Cung cấp lại mã đơn (Rework)</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gửi lại mã (xác suất 5%)</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thông tin chi tiết đơn</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hành trình và chứng từ đính kèm</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chứng từ khiếu nại (Rework)</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120,00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chụp lại ảnh chứng từ (xác suất 20%)</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nguyên nhân và thiệt hại</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75,00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Đối soát nguyên nhân lỗi với Kho/Shipper</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Tư vấn và giải đáp thắc mắc</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đáp chính sách dịch vụ (xác suất 35%)</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phiếu chi đền bù bồi thường</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45,00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duyệt phiếu đền bù (xác suất 55,25%)</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văn bản từ chối giải trình</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Soạn văn bản từ chối (xác suất 9,75%)</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Thông báo kết quả giải quyết</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kết quả đến khách hàng qua App/SMS</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phản hồi từ khách</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phản hồi kết quả</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phúc tra và tái xử lý</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Trưởng nhóm phúc tra hồ sơ (xác suất 10%)</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trả tiền bồi thường</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khoản tiền đền bù cho khách</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Nghiệm thu kết quả và đóng hồ sơ</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xác nhận và đóng hồ sơ khiếu nại</w:t>
            </w:r>
          </w:p>
        </w:tc>
      </w:tr>
    </w:tbl>
    <w:p>
      <w:pPr>
        <w:spacing w:before="0" w:after="80"/>
      </w:pPr>
    </w:p>
    <w:p>
      <w:pPr>
        <w:spacing w:before="0" w:after="120" w:line="300" w:lineRule="auto"/>
        <w:jc w:val="both"/>
      </w:pPr>
      <w:r>
        <w:rPr>
          <w:rFonts w:ascii="Times New Roman" w:hAnsi="Times New Roman"/>
          <w:color w:val="000000"/>
          <w:sz w:val="24"/>
        </w:rPr>
        <w:t>Tổng hợp chỉ số thời gian toàn trình quy trình CSKH:</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Thời gian xử lý luồng đền bù: PT_đền_bù = 5 + 3 + 5 + 15 + 15 + 5 + 5 + 10 + 5 = 68,00 phút.</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Thời gian xử lý luồng tư vấn: PT_tư_vấn = 5 + 3 + 5 + 15 + 10 + 5 + 5 + 5 = 53,00 phút.</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Thời gian xử lý thực tế kỳ vọng: T_proc = 0,65 × 68,00 + 0,35 × 53,00 = 62,75 phút (~ 1,05 giờ).</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thời gian chờ đợi cơ sở: T_wait = 10 + 10 + 120 + 60 + 30 + 5 = 235,00 phút (~ 3,92 giờ).</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thời gian chu kỳ kỳ vọng: T_cycle = T_proc + T_wait = 62,75 + 235,00 = 297,75 phút (~ 4,96 giờ).</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Hiệu suất thời gian chu kỳ: CTE = T_proc / T_cycle = 62,75 / 297,75 = 21,07%.</w:t>
      </w:r>
    </w:p>
    <w:p>
      <w:pPr>
        <w:spacing w:before="160" w:after="60"/>
        <w:jc w:val="left"/>
      </w:pPr>
      <w:r>
        <w:rPr>
          <w:rFonts w:ascii="Times New Roman" w:hAnsi="Times New Roman"/>
          <w:b/>
          <w:color w:val="000000"/>
          <w:sz w:val="25"/>
        </w:rPr>
        <w:t>4.2.2. Phân tích chất lượng</w:t>
      </w:r>
    </w:p>
    <w:p>
      <w:pPr>
        <w:spacing w:before="200" w:after="80"/>
        <w:jc w:val="left"/>
      </w:pPr>
      <w:r>
        <w:rPr>
          <w:rFonts w:ascii="Times New Roman" w:hAnsi="Times New Roman"/>
          <w:b/>
          <w:color w:val="000000"/>
          <w:sz w:val="22"/>
        </w:rPr>
        <w:t>Bảng 4.7: Phân tích các chỉ số chất lượng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Chỉ số chất lượng</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Công thức tính toán</w:t>
            </w:r>
          </w:p>
        </w:tc>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thực tế</w:t>
            </w:r>
          </w:p>
        </w:tc>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vị</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Nhận xét đánh giá</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khắc phục</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 Tỷ lệ giải quyết đúng hạn (SLA)</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SLA = Hồ sơ đúng hạn / Tổng</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94,50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Đạt yêu cầu cam kết SLA (&gt; 90%)</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cảnh báo ticket sắp trễ hạn</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 Tỷ lệ giải quyết ngay lần đầu (FCR)</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FCR = Hồ sơ lần 1 / Tổng</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75,00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 phải bổ sung chứng từ và 5% sai mã đơn</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Ràng buộc nhập liệu chính xác trên App</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 Tỷ lệ khách đồng thuận phương án</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đồng thuận = (100 - 10)%</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90,00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90% khách hài lòng với phương án đền bù/tư vấn</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Minh bạch hóa bảng tính bồi thường</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 Tỷ lệ phải phúc tra cấp 2</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 10% hồ sơ</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 hồ sơ phức tạp cần cấp Quản lý thẩm định</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Nâng cao quyền giải quyết cho chuyên viên</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 Điểm hài lòng khách hàng (CSAT)</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Khảo sát sau nghiệm thu</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4,3 / 5,0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Điểm</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đánh giá cao thái độ phục vụ tận tâm</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Rút ngắn thời gian chi trả tiền đền bù</w:t>
            </w:r>
          </w:p>
        </w:tc>
      </w:tr>
    </w:tbl>
    <w:p>
      <w:pPr>
        <w:spacing w:before="0" w:after="80"/>
      </w:pPr>
    </w:p>
    <w:p>
      <w:pPr>
        <w:spacing w:before="160" w:after="60"/>
        <w:jc w:val="left"/>
      </w:pPr>
      <w:r>
        <w:rPr>
          <w:rFonts w:ascii="Times New Roman" w:hAnsi="Times New Roman"/>
          <w:b/>
          <w:color w:val="000000"/>
          <w:sz w:val="25"/>
        </w:rPr>
        <w:t>4.2.3. Phân tích chi phí</w:t>
      </w:r>
    </w:p>
    <w:p>
      <w:pPr>
        <w:spacing w:before="0" w:after="120" w:line="300" w:lineRule="auto"/>
        <w:jc w:val="both"/>
      </w:pPr>
      <w:r>
        <w:rPr>
          <w:rFonts w:ascii="Times New Roman" w:hAnsi="Times New Roman"/>
          <w:color w:val="000000"/>
          <w:sz w:val="24"/>
        </w:rPr>
        <w:t>Đơn giá lương nhân viên CSKH: 1.042 VNĐ/phút (500.000 VNĐ/ngày làm việc 8 giờ).</w:t>
      </w:r>
    </w:p>
    <w:p>
      <w:pPr>
        <w:spacing w:before="200" w:after="80"/>
        <w:jc w:val="left"/>
      </w:pPr>
      <w:r>
        <w:rPr>
          <w:rFonts w:ascii="Times New Roman" w:hAnsi="Times New Roman"/>
          <w:b/>
          <w:color w:val="000000"/>
          <w:sz w:val="22"/>
        </w:rPr>
        <w:t>Bảng 4.8: Phân tích chi phí nhân sự xử lý quy trình CSKH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Hoạt động / Bước nghiệp vụ</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PT (phút)</w:t>
            </w:r>
          </w:p>
        </w:tc>
        <w:tc>
          <w:tcPr>
            <w:tcW w:type="dxa" w:w="129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giá (VNĐ/phút)</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Chi phí nhân công (VNĐ)</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Nhận xét đánh giá</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tối ưu</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 Gửi khiếu nại / thắc mắc</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thao tác trên App</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form ticket</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 Tiếp nhận và tra cứu mã đơn</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3.125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tra cứu mã trên CRM</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hóa tra cứu</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 Kiểm tra thông tin chi tiết đơn</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5.208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hành trình bưu gửi</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Hiển thị dữ liệu 1 chạm</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 Xác minh nguyên nhân và thiệt hại</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15.625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Đối soát lỗi với Kho/Bưu tá</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Xem trực tiếp camera kho</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 Tư vấn giải đáp thắc mắc (35%)</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10.417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Tư vấn chính sách, cước phí</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Tích hợp AI Chatbot</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 Lập phiếu chi đền bù (55,25%)</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15.625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duyệt phiếu bồi thường</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tính đền bù</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 Lập văn bản từ chối (9,75%)</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10.417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Soạn văn bản từ chối giải trình</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Áp dụng form mẫu điện tử</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 Thông báo kết quả giải quyết</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5.208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thông báo kết quả cho khách</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tự động qua Zalo ZNS</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11. Tiếp nhận phản hồi từ khách</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xem thông báo</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xác nhận trên App</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13. Chi trả tiền bồi thường</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10.417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Thực hiện lệnh chuyển khoản</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kết cổng chi tự động</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14. Nghiệm thu kết quả và đóng hồ sơ</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xác nhận và đóng đơn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Khảo sát CSAT tự động</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Tổng chi phí nhân sự kỳ vọng</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62,75 (kỳ vọng)</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52.880 VNĐ / đơn</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phí trực tiếp xử lý một hồ sơ</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Giảm 30% chi phí khi tự động hóa</w:t>
            </w:r>
          </w:p>
        </w:tc>
      </w:tr>
    </w:tbl>
    <w:p>
      <w:pPr>
        <w:spacing w:before="0" w:after="80"/>
      </w:pPr>
    </w:p>
    <w:p>
      <w:pPr>
        <w:spacing w:before="280" w:after="120"/>
        <w:jc w:val="left"/>
      </w:pPr>
      <w:r>
        <w:rPr>
          <w:rFonts w:ascii="Times New Roman" w:hAnsi="Times New Roman"/>
          <w:b/>
          <w:color w:val="000000"/>
          <w:sz w:val="30"/>
        </w:rPr>
        <w:t>5. Tài liệu tham khảo</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Dumas, M., La Rosa, M., Mendling, J., &amp; Reijers, H. A. (2018). Fundamentals of Business Process Management (2nd ed.). Springer.</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Object Management Group (OMG). (2011). Business Process Model and Notation (BPMN) Version 2.0 Specification.</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Công ty Cổ phần Bưu chính Viettel (Viettel Post). (2024). Sổ tay quy chuẩn dịch vụ khách hàng và giải quyết khiếu nại.</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Viettel Post. (2024). Quy chế quản lý chất lượng và hạn mức bồi thường thiệt hại dịch vụ bưu chính.</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