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CỘNG HÒA XÃ HỘI CHỦ NGHĨA VIỆT NAM</w:t>
      </w:r>
    </w:p>
    <w:p>
      <w:pPr>
        <w:jc w:val="center"/>
      </w:pPr>
      <w:r>
        <w:t>Độc lập - Tự do - Hạnh phúc</w:t>
      </w:r>
    </w:p>
    <w:p>
      <w:pPr>
        <w:pStyle w:val="Title"/>
        <w:jc w:val="center"/>
      </w:pPr>
      <w:r>
        <w:t>HỢP ĐỒNG THIẾT KẾ VÀ TRIỂN KHAI WEBSITE BÁN HÀNG</w:t>
      </w:r>
    </w:p>
    <w:p>
      <w:pPr>
        <w:jc w:val="center"/>
      </w:pPr>
      <w:r>
        <w:t>Số hợp đồng: [........]                         Ngày ký: [........]</w:t>
      </w:r>
    </w:p>
    <w:p>
      <w:r>
        <w:t>Hai bên thống nhất giao và nhận việc xây dựng website bán hàng theo phạm vi, giá và điều kiện nghiệm thu dưới đây. Phụ lục 01 là một phần của hợp đồng.</w:t>
      </w:r>
    </w:p>
    <w:p>
      <w:pPr>
        <w:pStyle w:val="Heading1"/>
      </w:pPr>
      <w:r>
        <w:t>Thông tin các bên</w:t>
      </w:r>
    </w:p>
    <w:p>
      <w:r>
        <w:rPr>
          <w:b/>
        </w:rPr>
        <w:t>Bên A  Khách hàng</w:t>
      </w:r>
      <w:r/>
    </w:p>
    <w:p>
      <w:r>
        <w:t>Tên cá nhân hoặc pháp nhân: [....................................................................]</w:t>
      </w:r>
    </w:p>
    <w:p>
      <w:r>
        <w:t>Đại diện, chức vụ: [................................]  Mã số thuế hoặc CCCD: [................................]</w:t>
      </w:r>
    </w:p>
    <w:p>
      <w:r>
        <w:t>Địa chỉ: [.........................................................................................................]</w:t>
      </w:r>
    </w:p>
    <w:p>
      <w:r>
        <w:t>Điện thoại: [........................]  Email: [..............................................................]</w:t>
      </w:r>
    </w:p>
    <w:p>
      <w:r>
        <w:rPr>
          <w:b/>
        </w:rPr>
        <w:t>Bên B  Đơn vị thực hiện</w:t>
      </w:r>
      <w:r/>
    </w:p>
    <w:p>
      <w:r>
        <w:t>Tên cá nhân hoặc pháp nhân: [....................................................................]</w:t>
      </w:r>
    </w:p>
    <w:p>
      <w:r>
        <w:t>Đại diện, chức vụ: [................................]  Mã số thuế hoặc CCCD: [................................]</w:t>
      </w:r>
    </w:p>
    <w:p>
      <w:r>
        <w:t>Địa chỉ: [.........................................................................................................]</w:t>
      </w:r>
    </w:p>
    <w:p>
      <w:r>
        <w:t>Điện thoại: [........................]  Email: [..............................................................]</w:t>
      </w:r>
    </w:p>
    <w:p>
      <w:r>
        <w:t>Tài khoản nhận thanh toán: [........................] tại [..................................................]</w:t>
      </w:r>
    </w:p>
    <w:p>
      <w:pPr>
        <w:pStyle w:val="Heading1"/>
      </w:pPr>
      <w:r>
        <w:t>Điều 1  Công việc và sản phẩm bàn giao</w:t>
      </w:r>
    </w:p>
    <w:p>
      <w:r>
        <w:t>Bên B thiết kế và triển khai một website bán hàng mỹ phẩm bằng tiếng Việt, tương thích máy tính và điện thoại, theo giao diện được Bên A duyệt. Các chức năng và tiêu chí kiểm tra cụ thể nằm tại Phụ lục 01.</w:t>
      </w:r>
    </w:p>
    <w:p>
      <w:pPr>
        <w:pStyle w:val="ListBullet"/>
        <w:ind w:left="403" w:hanging="202"/>
      </w:pPr>
      <w:r>
        <w:t>Bao gồm trang chủ, danh mục và chi tiết sản phẩm, tìm kiếm, giỏ hàng, đặt hàng, tài khoản khách hàng và trang quản trị sản phẩm, đơn hàng.</w:t>
      </w:r>
    </w:p>
    <w:p>
      <w:pPr>
        <w:pStyle w:val="ListBullet"/>
        <w:ind w:left="403" w:hanging="202"/>
      </w:pPr>
      <w:r>
        <w:t>Bao gồm tích hợp một cổng thanh toán có API do hai bên thống nhất trước khi ký: [........................]. Bên A cung cấp tài khoản merchant, thông tin pháp lý và quyền truy cập cần thiết.</w:t>
      </w:r>
    </w:p>
    <w:p>
      <w:pPr>
        <w:pStyle w:val="ListBullet"/>
        <w:ind w:left="403" w:hanging="202"/>
      </w:pPr>
      <w:r>
        <w:t>Bao gồm nhập ban đầu tối đa 30 sản phẩm và chức năng nhập thêm sản phẩm bằng file Excel theo mẫu do Bên B bàn giao.</w:t>
      </w:r>
    </w:p>
    <w:p>
      <w:pPr>
        <w:pStyle w:val="ListBullet"/>
        <w:ind w:left="403" w:hanging="202"/>
      </w:pPr>
      <w:r>
        <w:t>Bên B triển khai website lên một VPS hoặc nền tảng lưu trữ do Bên A cung cấp, cấu hình tên miền và HTTPS, kiểm tra các luồng chính, bàn giao tài khoản quản trị và hướng dẫn sử dụng cơ bản.</w:t>
      </w:r>
    </w:p>
    <w:p>
      <w:r>
        <w:t>Dữ liệu 30 sản phẩm, hình ảnh, logo, nội dung pháp lý và chính sách bán hàng do Bên A cung cấp. Nếu chưa có dữ liệu thật, hai bên dùng dữ liệu mẫu để duyệt giao diện; việc thay dữ liệu thật trước nghiệm thu được thực hiện một lần trong giới hạn 30 sản phẩm.</w:t>
      </w:r>
    </w:p>
    <w:p>
      <w:pPr>
        <w:pStyle w:val="Heading1"/>
      </w:pPr>
      <w:r>
        <w:t>Điều 2  Thời gian thực hiện</w:t>
      </w:r>
    </w:p>
    <w:p>
      <w:r>
        <w:t>Thời gian dự kiến là 02 tuần, tương đương 14 ngày lịch, tính từ ngày Bên B nhận khoản thanh toán đợt đầu và đủ tài liệu, quyền truy cập cần thiết theo Điều 3. Hai bên ghi ngày bắt đầu thực tế qua email hoặc tin nhắn có thể đối chiếu.</w:t>
      </w:r>
    </w:p>
    <w:p>
      <w:r>
        <w:t>Thời gian chờ Bên A cung cấp dữ liệu, phản hồi bản duyệt hoặc chờ bên thứ ba kích hoạt cổng thanh toán không tính vào 14 ngày. Bên B thông báo phần việc bị ảnh hưởng và lịch mới bằng văn bản; các phần việc độc lập vẫn tiếp tục.</w:t>
      </w:r>
    </w:p>
    <w:p>
      <w:pPr>
        <w:pStyle w:val="Heading1"/>
      </w:pPr>
      <w:r>
        <w:t>Điều 3  Trách nhiệm của các bên</w:t>
      </w:r>
    </w:p>
    <w:p>
      <w:r>
        <w:t>Bên A cung cấp thông tin thương hiệu, tối đa 30 sản phẩm, hình ảnh có quyền sử dụng, nội dung và chính sách cửa hàng, tài khoản cổng thanh toán, VPS, tên miền và quyền DNS. Bên A cử một đầu mối duyệt giao diện, kiểm tra bản chạy thử và phản hồi tập trung.</w:t>
      </w:r>
    </w:p>
    <w:p>
      <w:r>
        <w:t>Bên B thực hiện đúng phạm vi đã chốt, bảo vệ quyền truy cập được giao, không dùng dữ liệu khách hàng ngoài mục đích thực hiện hợp đồng, và bàn giao thông tin triển khai cùng hướng dẫn quản trị khi nghiệm thu.</w:t>
      </w:r>
    </w:p>
    <w:p>
      <w:pPr>
        <w:pStyle w:val="Heading1"/>
      </w:pPr>
      <w:r>
        <w:t>Điều 4  Giá trị và thanh toán</w:t>
      </w:r>
    </w:p>
    <w:tbl>
      <w:tblPr>
        <w:tblStyle w:val="TableGrid"/>
        <w:tblW w:type="auto" w:w="0"/>
        <w:tblLayout w:type="fixed"/>
        <w:tblLook w:firstColumn="1" w:firstRow="1" w:lastColumn="0" w:lastRow="0" w:noHBand="0" w:noVBand="1" w:val="04A0"/>
      </w:tblPr>
      <w:tblGrid>
        <w:gridCol w:w="7056"/>
        <w:gridCol w:w="2736"/>
      </w:tblGrid>
      <w:tr>
        <w:tc>
          <w:tcPr>
            <w:tcW w:type="dxa" w:w="7056"/>
            <w:shd w:fill="E9EFF4"/>
            <w:vAlign w:val="center"/>
          </w:tcPr>
          <w:p>
            <w:pPr>
              <w:spacing w:after="0" w:line="264" w:lineRule="auto"/>
            </w:pPr>
            <w:r>
              <w:rPr>
                <w:rFonts w:ascii="Arial" w:hAnsi="Arial"/>
                <w:b/>
                <w:sz w:val="18"/>
              </w:rPr>
              <w:t>Hạng mục</w:t>
            </w:r>
          </w:p>
        </w:tc>
        <w:tc>
          <w:tcPr>
            <w:tcW w:type="dxa" w:w="2736"/>
            <w:shd w:fill="E9EFF4"/>
            <w:vAlign w:val="center"/>
          </w:tcPr>
          <w:p>
            <w:pPr>
              <w:spacing w:after="0" w:line="264" w:lineRule="auto"/>
            </w:pPr>
            <w:r>
              <w:rPr>
                <w:rFonts w:ascii="Arial" w:hAnsi="Arial"/>
                <w:b/>
                <w:sz w:val="18"/>
              </w:rPr>
              <w:t>Giá trị</w:t>
            </w:r>
          </w:p>
        </w:tc>
      </w:tr>
      <w:tr>
        <w:tc>
          <w:tcPr>
            <w:tcW w:type="dxa" w:w="7056"/>
            <w:vAlign w:val="center"/>
          </w:tcPr>
          <w:p>
            <w:pPr>
              <w:spacing w:after="0" w:line="264" w:lineRule="auto"/>
            </w:pPr>
            <w:r>
              <w:rPr>
                <w:rFonts w:ascii="Arial" w:hAnsi="Arial"/>
                <w:sz w:val="18"/>
              </w:rPr>
              <w:t>Website bán hàng và các chức năng tại Phụ lục 01</w:t>
            </w:r>
          </w:p>
        </w:tc>
        <w:tc>
          <w:tcPr>
            <w:tcW w:type="dxa" w:w="2736"/>
            <w:vAlign w:val="center"/>
          </w:tcPr>
          <w:p>
            <w:pPr>
              <w:spacing w:after="0" w:line="264" w:lineRule="auto"/>
            </w:pPr>
            <w:r>
              <w:rPr>
                <w:rFonts w:ascii="Arial" w:hAnsi="Arial"/>
                <w:sz w:val="18"/>
              </w:rPr>
              <w:t>12.000.000 đồng</w:t>
            </w:r>
          </w:p>
        </w:tc>
      </w:tr>
      <w:tr>
        <w:tc>
          <w:tcPr>
            <w:tcW w:type="dxa" w:w="7056"/>
            <w:vAlign w:val="center"/>
          </w:tcPr>
          <w:p>
            <w:pPr>
              <w:spacing w:after="0" w:line="264" w:lineRule="auto"/>
            </w:pPr>
            <w:r>
              <w:rPr>
                <w:rFonts w:ascii="Arial" w:hAnsi="Arial"/>
                <w:sz w:val="18"/>
              </w:rPr>
              <w:t>Chức năng nhập sản phẩm bằng Excel</w:t>
            </w:r>
          </w:p>
        </w:tc>
        <w:tc>
          <w:tcPr>
            <w:tcW w:type="dxa" w:w="2736"/>
            <w:vAlign w:val="center"/>
          </w:tcPr>
          <w:p>
            <w:pPr>
              <w:spacing w:after="0" w:line="264" w:lineRule="auto"/>
            </w:pPr>
            <w:r>
              <w:rPr>
                <w:rFonts w:ascii="Arial" w:hAnsi="Arial"/>
                <w:sz w:val="18"/>
              </w:rPr>
              <w:t>1.000.000 đồng</w:t>
            </w:r>
          </w:p>
        </w:tc>
      </w:tr>
      <w:tr>
        <w:tc>
          <w:tcPr>
            <w:tcW w:type="dxa" w:w="7056"/>
            <w:vAlign w:val="center"/>
          </w:tcPr>
          <w:p>
            <w:pPr>
              <w:spacing w:after="0" w:line="264" w:lineRule="auto"/>
            </w:pPr>
            <w:r>
              <w:rPr>
                <w:rFonts w:ascii="Arial" w:hAnsi="Arial"/>
                <w:sz w:val="18"/>
              </w:rPr>
              <w:t>Tổng giá trị hợp đồng</w:t>
            </w:r>
          </w:p>
        </w:tc>
        <w:tc>
          <w:tcPr>
            <w:tcW w:type="dxa" w:w="2736"/>
            <w:vAlign w:val="center"/>
          </w:tcPr>
          <w:p>
            <w:pPr>
              <w:spacing w:after="0" w:line="264" w:lineRule="auto"/>
            </w:pPr>
            <w:r>
              <w:rPr>
                <w:rFonts w:ascii="Arial" w:hAnsi="Arial"/>
                <w:sz w:val="18"/>
              </w:rPr>
              <w:t>13.000.000 đồng</w:t>
            </w:r>
          </w:p>
        </w:tc>
      </w:tr>
    </w:tbl>
    <w:p>
      <w:pPr>
        <w:spacing w:after="0"/>
      </w:pPr>
    </w:p>
    <w:p>
      <w:r>
        <w:t>Bằng chữ: Mười ba triệu đồng. Tình trạng thuế GTGT và loại chứng từ thanh toán: [ghi rõ trước khi ký].</w:t>
      </w:r>
    </w:p>
    <w:p>
      <w:r>
        <w:t>Đợt 1: [......]% tương ứng [................] đồng, thanh toán trong [......] ngày sau khi ký.</w:t>
      </w:r>
    </w:p>
    <w:p>
      <w:r>
        <w:t>Đợt 2: phần còn lại [................] đồng, thanh toán trong [......] ngày sau khi hai bên ký biên bản nghiệm thu.</w:t>
      </w:r>
    </w:p>
    <w:p>
      <w:r>
        <w:t>Giá trên không bao gồm phí mua và gia hạn VPS hoặc hosting, tên miền, phí giao dịch cổng thanh toán, phí dịch vụ SMS, email, vận chuyển hoặc giấy phép bên thứ ba nếu có. Bên A đứng tên và thanh toán trực tiếp các dịch vụ này.</w:t>
      </w:r>
    </w:p>
    <w:p>
      <w:pPr>
        <w:pStyle w:val="Heading1"/>
      </w:pPr>
      <w:r>
        <w:t>Điều 5  Kiểm tra và nghiệm thu</w:t>
      </w:r>
    </w:p>
    <w:p>
      <w:r>
        <w:t>Khi hoàn thành, Bên B gửi đường dẫn kiểm tra và tài khoản thử nghiệm. Bên A kiểm tra theo Phụ lục 01 và phản hồi lỗi hoặc điểm chưa đúng phạm vi trong 05 ngày làm việc. Bên B sửa lỗi thuộc phạm vi hợp đồng và hai bên kiểm tra lại trước khi ký nghiệm thu.</w:t>
      </w:r>
    </w:p>
    <w:p>
      <w:r>
        <w:t>Chức năng thanh toán được kiểm tra bằng môi trường thử nghiệm của cổng thanh toán nếu Bên A chưa được kích hoạt giao dịch thật. Việc kích hoạt thanh toán thật phụ thuộc vào hồ sơ và phê duyệt của nhà cung cấp cổng; Bên B thực hiện cấu hình còn lại khi Bên A cung cấp đủ tài khoản hợp lệ.</w:t>
      </w:r>
    </w:p>
    <w:p>
      <w:pPr>
        <w:pStyle w:val="Heading1"/>
      </w:pPr>
      <w:r>
        <w:t>Điều 6  Bảo hành và thay đổi phạm vi</w:t>
      </w:r>
    </w:p>
    <w:p>
      <w:r>
        <w:t>Bên B sửa miễn phí lỗi do phần triển khai của Bên B trong 30 ngày kể từ ngày nghiệm thu. Bảo hành không bao gồm tính năng mới, thay đổi thiết kế đã duyệt, nhập thêm dữ liệu ngoài giới hạn, lỗi do Bên A hoặc bên thứ ba tự chỉnh sửa, hay sự cố của VPS, tên miền và cổng thanh toán.</w:t>
      </w:r>
    </w:p>
    <w:p>
      <w:r>
        <w:t>Website song ngữ là hạng mục nâng cấp tùy chọn với phí 1.000.000 đồng; bảo trì định kỳ là dịch vụ riêng với phí dự kiến 1.200.000 đồng/tháng. Hai hạng mục này không nằm trong 13.000.000 đồng và chỉ thực hiện khi hai bên xác nhận phạm vi, thời điểm và thanh toán bằng phụ lục hoặc thỏa thuận riêng. Không bao gồm hệ thống điểm thưởng thành viên.</w:t>
      </w:r>
    </w:p>
    <w:p>
      <w:pPr>
        <w:pStyle w:val="Heading1"/>
      </w:pPr>
      <w:r>
        <w:t>Điều 7  Quyền sở hữu và bảo mật</w:t>
      </w:r>
    </w:p>
    <w:p>
      <w:r>
        <w:t>Sau khi Bên A thanh toán đủ, Bên B bàn giao mã nguồn do mình tạo cho dự án, dữ liệu website và các tài khoản quản trị thuộc dự án. Các thư viện mã nguồn mở, tài sản hoặc dịch vụ của bên thứ ba tiếp tục tuân theo giấy phép và điều khoản riêng của họ. Bên A chịu trách nhiệm về quyền sử dụng hình ảnh, nhãn hiệu và nội dung do mình cung cấp.</w:t>
      </w:r>
    </w:p>
    <w:p>
      <w:r>
        <w:t>Mỗi bên giữ bí mật thông tin kinh doanh, thông tin truy cập và dữ liệu cá nhân nhận từ bên kia; chỉ chia sẻ cho người cần thực hiện hợp đồng hoặc theo yêu cầu pháp luật. Khi bàn giao, Bên B chuyển quyền quản trị và thu hồi quyền truy cập của mình theo yêu cầu hợp lý của Bên A.</w:t>
      </w:r>
    </w:p>
    <w:p>
      <w:pPr>
        <w:pStyle w:val="Heading1"/>
      </w:pPr>
      <w:r>
        <w:t>Điều 8  Tạm dừng chấm dứt và giải quyết tranh chấp</w:t>
      </w:r>
    </w:p>
    <w:p>
      <w:r>
        <w:t>Mọi thay đổi phạm vi hoặc tạm dừng phải được hai bên xác nhận bằng văn bản. Nếu một bên chấm dứt trước thời hạn, hai bên đối chiếu phần việc đã hoàn thành, khoản đã thanh toán và chi phí thực tế không thể hoàn lại; Bên B hoàn trả phần tiền ứng trước tương ứng với phần việc chưa thực hiện.</w:t>
      </w:r>
    </w:p>
    <w:p>
      <w:r>
        <w:t>Tranh chấp được ưu tiên giải quyết bằng thương lượng trong 30 ngày. Nếu không đạt thỏa thuận, mỗi bên có quyền yêu cầu cơ quan có thẩm quyền giải quyết theo pháp luật Việt Nam.</w:t>
      </w:r>
    </w:p>
    <w:p>
      <w:r>
        <w:t>Hợp đồng có hiệu lực từ ngày ký, lập thành 02 bản có giá trị như nhau, mỗi bên giữ 01 bản.</w:t>
      </w:r>
    </w:p>
    <w:tbl>
      <w:tblPr>
        <w:tblW w:type="auto" w:w="0"/>
        <w:tblLayout w:type="fixed"/>
        <w:tblLook w:firstColumn="1" w:firstRow="1" w:lastColumn="0" w:lastRow="0" w:noHBand="0" w:noVBand="1" w:val="04A0"/>
      </w:tblPr>
      <w:tblGrid>
        <w:gridCol w:w="4896"/>
        <w:gridCol w:w="4896"/>
      </w:tblGrid>
      <w:tr>
        <w:tc>
          <w:tcPr>
            <w:tcW w:type="dxa" w:w="4997"/>
          </w:tcPr>
          <w:p>
            <w:pPr>
              <w:jc w:val="center"/>
            </w:pPr>
            <w:r>
              <w:t>ĐẠI DIỆN BÊN A</w:t>
              <w:br/>
              <w:t>(Ký và ghi rõ họ tên)</w:t>
              <w:br/>
              <w:br/>
              <w:br/>
              <w:br/>
            </w:r>
          </w:p>
        </w:tc>
        <w:tc>
          <w:tcPr>
            <w:tcW w:type="dxa" w:w="4997"/>
          </w:tcPr>
          <w:p>
            <w:pPr>
              <w:jc w:val="center"/>
            </w:pPr>
            <w:r>
              <w:t>ĐẠI DIỆN BÊN B</w:t>
              <w:br/>
              <w:t>(Ký và ghi rõ họ tên)</w:t>
              <w:br/>
              <w:br/>
              <w:br/>
              <w:br/>
            </w:r>
          </w:p>
        </w:tc>
      </w:tr>
    </w:tbl>
    <w:p>
      <w:pPr>
        <w:pStyle w:val="Title"/>
        <w:jc w:val="center"/>
      </w:pPr>
      <w:r>
        <w:t>PHỤ LỤC 01  PHẠM VI VÀ TIÊU CHÍ NGHIỆM THU</w:t>
      </w:r>
    </w:p>
    <w:p>
      <w:r>
        <w:t>Phụ lục đi kèm Hợp đồng số [........] ký ngày [........]. Những mục dưới đây là căn cứ kiểm tra khi bàn giao.</w:t>
      </w:r>
    </w:p>
    <w:tbl>
      <w:tblPr>
        <w:tblStyle w:val="TableGrid"/>
        <w:tblW w:type="auto" w:w="0"/>
        <w:tblLayout w:type="fixed"/>
        <w:tblLook w:firstColumn="1" w:firstRow="1" w:lastColumn="0" w:lastRow="0" w:noHBand="0" w:noVBand="1" w:val="04A0"/>
      </w:tblPr>
      <w:tblGrid>
        <w:gridCol w:w="2477"/>
        <w:gridCol w:w="7315"/>
      </w:tblGrid>
      <w:tr>
        <w:tc>
          <w:tcPr>
            <w:tcW w:type="dxa" w:w="2477"/>
            <w:shd w:fill="E9EFF4"/>
            <w:vAlign w:val="center"/>
          </w:tcPr>
          <w:p>
            <w:pPr>
              <w:spacing w:after="0" w:line="264" w:lineRule="auto"/>
            </w:pPr>
            <w:r>
              <w:rPr>
                <w:rFonts w:ascii="Arial" w:hAnsi="Arial"/>
                <w:b/>
                <w:sz w:val="18"/>
              </w:rPr>
              <w:t>Hạng mục</w:t>
            </w:r>
          </w:p>
        </w:tc>
        <w:tc>
          <w:tcPr>
            <w:tcW w:type="dxa" w:w="7315"/>
            <w:shd w:fill="E9EFF4"/>
            <w:vAlign w:val="center"/>
          </w:tcPr>
          <w:p>
            <w:pPr>
              <w:spacing w:after="0" w:line="264" w:lineRule="auto"/>
            </w:pPr>
            <w:r>
              <w:rPr>
                <w:rFonts w:ascii="Arial" w:hAnsi="Arial"/>
                <w:b/>
                <w:sz w:val="18"/>
              </w:rPr>
              <w:t>Nội dung cần bàn giao và cách kiểm tra</w:t>
            </w:r>
          </w:p>
        </w:tc>
      </w:tr>
      <w:tr>
        <w:tc>
          <w:tcPr>
            <w:tcW w:type="dxa" w:w="2477"/>
            <w:vAlign w:val="center"/>
          </w:tcPr>
          <w:p>
            <w:pPr>
              <w:spacing w:after="0" w:line="264" w:lineRule="auto"/>
            </w:pPr>
            <w:r>
              <w:rPr>
                <w:rFonts w:ascii="Arial" w:hAnsi="Arial"/>
                <w:sz w:val="18"/>
              </w:rPr>
              <w:t>Giao diện cửa hàng</w:t>
            </w:r>
          </w:p>
        </w:tc>
        <w:tc>
          <w:tcPr>
            <w:tcW w:type="dxa" w:w="7315"/>
            <w:vAlign w:val="center"/>
          </w:tcPr>
          <w:p>
            <w:pPr>
              <w:spacing w:after="0" w:line="264" w:lineRule="auto"/>
            </w:pPr>
            <w:r>
              <w:rPr>
                <w:rFonts w:ascii="Arial" w:hAnsi="Arial"/>
                <w:sz w:val="18"/>
              </w:rPr>
              <w:t>Trang chủ, trang danh mục, chi tiết sản phẩm, tìm kiếm; hiển thị được trên máy tính và điện thoại; màu sắc và bố cục theo bản giao diện đã duyệt.</w:t>
            </w:r>
          </w:p>
        </w:tc>
      </w:tr>
      <w:tr>
        <w:tc>
          <w:tcPr>
            <w:tcW w:type="dxa" w:w="2477"/>
            <w:vAlign w:val="center"/>
          </w:tcPr>
          <w:p>
            <w:pPr>
              <w:spacing w:after="0" w:line="264" w:lineRule="auto"/>
            </w:pPr>
            <w:r>
              <w:rPr>
                <w:rFonts w:ascii="Arial" w:hAnsi="Arial"/>
                <w:sz w:val="18"/>
              </w:rPr>
              <w:t>Sản phẩm ban đầu</w:t>
            </w:r>
          </w:p>
        </w:tc>
        <w:tc>
          <w:tcPr>
            <w:tcW w:type="dxa" w:w="7315"/>
            <w:vAlign w:val="center"/>
          </w:tcPr>
          <w:p>
            <w:pPr>
              <w:spacing w:after="0" w:line="264" w:lineRule="auto"/>
            </w:pPr>
            <w:r>
              <w:rPr>
                <w:rFonts w:ascii="Arial" w:hAnsi="Arial"/>
                <w:sz w:val="18"/>
              </w:rPr>
              <w:t>Hiển thị tối đa 30 sản phẩm từ dữ liệu Bên A cung cấp; có tên, ảnh, giá, mô tả, danh mục và trạng thái bán. Dữ liệu mẫu được ghi rõ nếu chưa có dữ liệu thật.</w:t>
            </w:r>
          </w:p>
        </w:tc>
      </w:tr>
      <w:tr>
        <w:tc>
          <w:tcPr>
            <w:tcW w:type="dxa" w:w="2477"/>
            <w:vAlign w:val="center"/>
          </w:tcPr>
          <w:p>
            <w:pPr>
              <w:spacing w:after="0" w:line="264" w:lineRule="auto"/>
            </w:pPr>
            <w:r>
              <w:rPr>
                <w:rFonts w:ascii="Arial" w:hAnsi="Arial"/>
                <w:sz w:val="18"/>
              </w:rPr>
              <w:t>Giỏ hàng và đặt hàng</w:t>
            </w:r>
          </w:p>
        </w:tc>
        <w:tc>
          <w:tcPr>
            <w:tcW w:type="dxa" w:w="7315"/>
            <w:vAlign w:val="center"/>
          </w:tcPr>
          <w:p>
            <w:pPr>
              <w:spacing w:after="0" w:line="264" w:lineRule="auto"/>
            </w:pPr>
            <w:r>
              <w:rPr>
                <w:rFonts w:ascii="Arial" w:hAnsi="Arial"/>
                <w:sz w:val="18"/>
              </w:rPr>
              <w:t>Khách thêm, sửa số lượng, xóa sản phẩm; gửi thông tin nhận hàng; hệ thống tạo đơn và lưu các mặt hàng, tổng tiền, trạng thái đơn.</w:t>
            </w:r>
          </w:p>
        </w:tc>
      </w:tr>
      <w:tr>
        <w:tc>
          <w:tcPr>
            <w:tcW w:type="dxa" w:w="2477"/>
            <w:vAlign w:val="center"/>
          </w:tcPr>
          <w:p>
            <w:pPr>
              <w:spacing w:after="0" w:line="264" w:lineRule="auto"/>
            </w:pPr>
            <w:r>
              <w:rPr>
                <w:rFonts w:ascii="Arial" w:hAnsi="Arial"/>
                <w:sz w:val="18"/>
              </w:rPr>
              <w:t>Thanh toán</w:t>
            </w:r>
          </w:p>
        </w:tc>
        <w:tc>
          <w:tcPr>
            <w:tcW w:type="dxa" w:w="7315"/>
            <w:vAlign w:val="center"/>
          </w:tcPr>
          <w:p>
            <w:pPr>
              <w:spacing w:after="0" w:line="264" w:lineRule="auto"/>
            </w:pPr>
            <w:r>
              <w:rPr>
                <w:rFonts w:ascii="Arial" w:hAnsi="Arial"/>
                <w:sz w:val="18"/>
              </w:rPr>
              <w:t>Có COD và kết nối một cổng thanh toán do Bên A chọn. Kiểm tra giao dịch thử, trạng thái thành công và thất bại; không lưu thông tin thẻ trên website.</w:t>
            </w:r>
          </w:p>
        </w:tc>
      </w:tr>
      <w:tr>
        <w:tc>
          <w:tcPr>
            <w:tcW w:type="dxa" w:w="2477"/>
            <w:vAlign w:val="center"/>
          </w:tcPr>
          <w:p>
            <w:pPr>
              <w:spacing w:after="0" w:line="264" w:lineRule="auto"/>
            </w:pPr>
            <w:r>
              <w:rPr>
                <w:rFonts w:ascii="Arial" w:hAnsi="Arial"/>
                <w:sz w:val="18"/>
              </w:rPr>
              <w:t>Tài khoản khách hàng</w:t>
            </w:r>
          </w:p>
        </w:tc>
        <w:tc>
          <w:tcPr>
            <w:tcW w:type="dxa" w:w="7315"/>
            <w:vAlign w:val="center"/>
          </w:tcPr>
          <w:p>
            <w:pPr>
              <w:spacing w:after="0" w:line="264" w:lineRule="auto"/>
            </w:pPr>
            <w:r>
              <w:rPr>
                <w:rFonts w:ascii="Arial" w:hAnsi="Arial"/>
                <w:sz w:val="18"/>
              </w:rPr>
              <w:t>Khách có thể đăng ký, đăng nhập, xem thông tin cơ bản và lịch sử đơn hàng của mình; mật khẩu không lưu dưới dạng văn bản thuần.</w:t>
            </w:r>
          </w:p>
        </w:tc>
      </w:tr>
      <w:tr>
        <w:tc>
          <w:tcPr>
            <w:tcW w:type="dxa" w:w="2477"/>
            <w:vAlign w:val="center"/>
          </w:tcPr>
          <w:p>
            <w:pPr>
              <w:spacing w:after="0" w:line="264" w:lineRule="auto"/>
            </w:pPr>
            <w:r>
              <w:rPr>
                <w:rFonts w:ascii="Arial" w:hAnsi="Arial"/>
                <w:sz w:val="18"/>
              </w:rPr>
              <w:t>Quản trị</w:t>
            </w:r>
          </w:p>
        </w:tc>
        <w:tc>
          <w:tcPr>
            <w:tcW w:type="dxa" w:w="7315"/>
            <w:vAlign w:val="center"/>
          </w:tcPr>
          <w:p>
            <w:pPr>
              <w:spacing w:after="0" w:line="264" w:lineRule="auto"/>
            </w:pPr>
            <w:r>
              <w:rPr>
                <w:rFonts w:ascii="Arial" w:hAnsi="Arial"/>
                <w:sz w:val="18"/>
              </w:rPr>
              <w:t>Người quản trị đăng nhập để thêm, sửa, ẩn sản phẩm; xem và cập nhật trạng thái đơn hàng. Khu vực quản trị không mở công khai cho người chưa được cấp quyền.</w:t>
            </w:r>
          </w:p>
        </w:tc>
      </w:tr>
      <w:tr>
        <w:tc>
          <w:tcPr>
            <w:tcW w:type="dxa" w:w="2477"/>
            <w:vAlign w:val="center"/>
          </w:tcPr>
          <w:p>
            <w:pPr>
              <w:spacing w:after="0" w:line="264" w:lineRule="auto"/>
            </w:pPr>
            <w:r>
              <w:rPr>
                <w:rFonts w:ascii="Arial" w:hAnsi="Arial"/>
                <w:sz w:val="18"/>
              </w:rPr>
              <w:t>Nhập bằng Excel</w:t>
            </w:r>
          </w:p>
        </w:tc>
        <w:tc>
          <w:tcPr>
            <w:tcW w:type="dxa" w:w="7315"/>
            <w:vAlign w:val="center"/>
          </w:tcPr>
          <w:p>
            <w:pPr>
              <w:spacing w:after="0" w:line="264" w:lineRule="auto"/>
            </w:pPr>
            <w:r>
              <w:rPr>
                <w:rFonts w:ascii="Arial" w:hAnsi="Arial"/>
                <w:sz w:val="18"/>
              </w:rPr>
              <w:t>Bên B cung cấp file mẫu và chức năng tải file lên; hệ thống báo dòng lỗi, tránh trùng SKU và nhập được một file kiểm thử theo mẫu.</w:t>
            </w:r>
          </w:p>
        </w:tc>
      </w:tr>
      <w:tr>
        <w:tc>
          <w:tcPr>
            <w:tcW w:type="dxa" w:w="2477"/>
            <w:vAlign w:val="center"/>
          </w:tcPr>
          <w:p>
            <w:pPr>
              <w:spacing w:after="0" w:line="264" w:lineRule="auto"/>
            </w:pPr>
            <w:r>
              <w:rPr>
                <w:rFonts w:ascii="Arial" w:hAnsi="Arial"/>
                <w:sz w:val="18"/>
              </w:rPr>
              <w:t>Triển khai và bàn giao</w:t>
            </w:r>
          </w:p>
        </w:tc>
        <w:tc>
          <w:tcPr>
            <w:tcW w:type="dxa" w:w="7315"/>
            <w:vAlign w:val="center"/>
          </w:tcPr>
          <w:p>
            <w:pPr>
              <w:spacing w:after="0" w:line="264" w:lineRule="auto"/>
            </w:pPr>
            <w:r>
              <w:rPr>
                <w:rFonts w:ascii="Arial" w:hAnsi="Arial"/>
                <w:sz w:val="18"/>
              </w:rPr>
              <w:t>Website hoạt động trên một địa chỉ do Bên A cung cấp, có HTTPS; bàn giao quyền quản trị, mã nguồn dự án và hướng dẫn thao tác cơ bản.</w:t>
            </w:r>
          </w:p>
        </w:tc>
      </w:tr>
    </w:tbl>
    <w:p>
      <w:pPr>
        <w:spacing w:after="0"/>
      </w:pPr>
    </w:p>
    <w:p>
      <w:pPr>
        <w:pStyle w:val="Heading1"/>
      </w:pPr>
      <w:r>
        <w:t>Điều kiện Bên A cần chuẩn bị</w:t>
      </w:r>
    </w:p>
    <w:p>
      <w:r>
        <w:t>Bên A cung cấp logo, tên thương hiệu chính thức, hình ảnh và dữ liệu sản phẩm, số điện thoại và địa chỉ liên hệ, chính sách vận chuyển/đổi trả/bảo mật, thông tin tài khoản ngân hàng, tài khoản cổng thanh toán, VPS, tên miền và quyền DNS. Hai bên xác nhận bằng văn bản nếu một mục chưa sẵn sàng và ảnh hưởng thời gian triển khai.</w:t>
      </w:r>
    </w:p>
    <w:p>
      <w:pPr>
        <w:pStyle w:val="Heading1"/>
      </w:pPr>
      <w:r>
        <w:t>Ngoài phạm vi</w:t>
      </w:r>
    </w:p>
    <w:p>
      <w:r>
        <w:t>Không bao gồm song ngữ, bảo trì hằng tháng, điểm thưởng, ứng dụng di động, kết nối đơn vị vận chuyển tự động, phí hạ tầng và phí dịch vụ bên thứ ba. Các yêu cầu bổ sung được báo giá riêng trước khi thực hiện.</w:t>
      </w:r>
    </w:p>
    <w:sectPr w:rsidR="00FC693F" w:rsidRPr="0006063C" w:rsidSect="00034616">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