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b/>
          <w:color w:val="1F3864"/>
          <w:sz w:val="36"/>
        </w:rPr>
        <w:t>Project 2 Design Figures (Report-Ready Draft)</w:t>
      </w:r>
    </w:p>
    <w:p>
      <w:r>
        <w:rPr>
          <w:rFonts w:ascii="Times New Roman" w:hAnsi="Times New Roman"/>
          <w:i/>
          <w:sz w:val="23"/>
        </w:rPr>
        <w:t>StockFlow Inventory Management System - COMP603/ENSE600 Project 2</w:t>
      </w:r>
    </w:p>
    <w:p>
      <w:r>
        <w:rPr>
          <w:rFonts w:ascii="Times New Roman" w:hAnsi="Times New Roman"/>
          <w:sz w:val="22"/>
        </w:rPr>
        <w:t>The document contains four figures: Figure 1 (use-case diagram), Figure 2 (final class diagram), Figure 3 (entity-relationship diagram of the Derby schema) and Figure 4 (MVC and layered architecture). The PNG files and the reproducible Pillow generator are in docs/design/. The class diagram and the ER diagram are checked against the built code and src/main/resources/db/schema.sql; the use-case model is checked against the GUI tabs, controllers and service methods.</w:t>
      </w:r>
    </w:p>
    <w:p>
      <w:pPr>
        <w:spacing w:before="280"/>
      </w:pPr>
      <w:r>
        <w:rPr>
          <w:rFonts w:ascii="Times New Roman" w:hAnsi="Times New Roman"/>
          <w:b/>
          <w:sz w:val="22"/>
        </w:rPr>
        <w:t>Figures in this document</w:t>
      </w:r>
    </w:p>
    <w:p>
      <w:pPr>
        <w:spacing w:after="40"/>
      </w:pPr>
      <w:r>
        <w:rPr>
          <w:rFonts w:ascii="Times New Roman" w:hAnsi="Times New Roman"/>
          <w:sz w:val="21"/>
        </w:rPr>
        <w:t>Figure 1 - Use-case diagram (Project 2 scope, UC-01 to UC-18)</w:t>
      </w:r>
    </w:p>
    <w:p>
      <w:pPr>
        <w:spacing w:after="40"/>
      </w:pPr>
      <w:r>
        <w:rPr>
          <w:rFonts w:ascii="Times New Roman" w:hAnsi="Times New Roman"/>
          <w:sz w:val="21"/>
        </w:rPr>
        <w:t>Figure 2 - Final class diagram (ui, service, dao, model)</w:t>
      </w:r>
    </w:p>
    <w:p>
      <w:pPr>
        <w:spacing w:after="40"/>
      </w:pPr>
      <w:r>
        <w:rPr>
          <w:rFonts w:ascii="Times New Roman" w:hAnsi="Times New Roman"/>
          <w:sz w:val="21"/>
        </w:rPr>
        <w:t>Figure 3 - Entity-relationship diagram of the embedded Derby database</w:t>
      </w:r>
    </w:p>
    <w:p>
      <w:pPr>
        <w:spacing w:after="40"/>
      </w:pPr>
      <w:r>
        <w:rPr>
          <w:rFonts w:ascii="Times New Roman" w:hAnsi="Times New Roman"/>
          <w:sz w:val="21"/>
        </w:rPr>
        <w:t>Figure 4 - MVC and layered architecture with the design patterns</w:t>
      </w:r>
    </w:p>
    <w:p>
      <w:pPr>
        <w:pageBreakBefore/>
        <w:spacing w:before="120" w:after="120"/>
      </w:pPr>
      <w:r>
        <w:rPr>
          <w:rFonts w:ascii="Times New Roman" w:hAnsi="Times New Roman"/>
          <w:b/>
          <w:color w:val="1F3864"/>
          <w:sz w:val="30"/>
        </w:rPr>
        <w:t>Figure 1 -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677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use_case_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77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/>
          <w:i/>
          <w:color w:val="404040"/>
          <w:sz w:val="20"/>
        </w:rPr>
        <w:t>Figure 1: Use-case diagram for the Project 2 StockFlow system (UC-15 to UC-18 are the Project 2 additions).</w:t>
      </w:r>
    </w:p>
    <w:p>
      <w:r>
        <w:rPr>
          <w:rFonts w:ascii="Times New Roman" w:hAnsi="Times New Roman"/>
          <w:sz w:val="21"/>
        </w:rPr>
        <w:t>Recommended placement: Section 3 (Software Design), use-case subsection; the model extends the Project 1 use cases with UC-15 to UC-18. See docs/design/README.md for the full relationship notes.</w:t>
      </w:r>
    </w:p>
    <w:p>
      <w:pPr>
        <w:pageBreakBefore/>
        <w:spacing w:before="120" w:after="120"/>
      </w:pPr>
      <w:r>
        <w:rPr>
          <w:rFonts w:ascii="Times New Roman" w:hAnsi="Times New Roman"/>
          <w:b/>
          <w:color w:val="1F3864"/>
          <w:sz w:val="30"/>
        </w:rPr>
        <w:t>Figure 2 - Final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190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class_diagram_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9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/>
          <w:i/>
          <w:color w:val="404040"/>
          <w:sz w:val="20"/>
        </w:rPr>
        <w:t>Figure 2: Final class diagram of the Project 2 design (MVC layer, service layer, JDBC DAO layer and domain model).</w:t>
      </w:r>
    </w:p>
    <w:p>
      <w:r>
        <w:rPr>
          <w:rFonts w:ascii="Times New Roman" w:hAnsi="Times New Roman"/>
          <w:sz w:val="21"/>
        </w:rPr>
        <w:t>Recommended placement: Section 3, class/design subsection (replaces the Project 1 iteration-2 class diagram). See docs/design/README.md for the suggested design-evolution paragraph.</w:t>
      </w:r>
    </w:p>
    <w:p>
      <w:pPr>
        <w:pageBreakBefore/>
        <w:spacing w:before="120" w:after="120"/>
      </w:pPr>
      <w:r>
        <w:rPr>
          <w:rFonts w:ascii="Times New Roman" w:hAnsi="Times New Roman"/>
          <w:b/>
          <w:color w:val="1F3864"/>
          <w:sz w:val="30"/>
        </w:rPr>
        <w:t>Figure 3 - Entity-relationship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53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er_diagram_p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/>
          <w:i/>
          <w:color w:val="404040"/>
          <w:sz w:val="20"/>
        </w:rPr>
        <w:t>Figure 3: Entity-relationship diagram of the embedded Apache Derby database (seven tables).</w:t>
      </w:r>
    </w:p>
    <w:p>
      <w:r>
        <w:rPr>
          <w:rFonts w:ascii="Times New Roman" w:hAnsi="Times New Roman"/>
          <w:sz w:val="21"/>
        </w:rPr>
        <w:t>Recommended placement: new Database-design subsection (Component 2.2), next to src/main/resources/db/schema.sql and the DAO tests. See docs/design/README.md for the key/cardinality notes.</w:t>
      </w:r>
    </w:p>
    <w:p>
      <w:pPr>
        <w:pageBreakBefore/>
        <w:spacing w:before="120" w:after="120"/>
      </w:pPr>
      <w:r>
        <w:rPr>
          <w:rFonts w:ascii="Times New Roman" w:hAnsi="Times New Roman"/>
          <w:b/>
          <w:color w:val="1F3864"/>
          <w:sz w:val="30"/>
        </w:rPr>
        <w:t>Figure 4 - MVC and layered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5662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mvc_architecture_p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66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/>
          <w:i/>
          <w:color w:val="404040"/>
          <w:sz w:val="20"/>
        </w:rPr>
        <w:t>Figure 4: MVC and layered architecture of the Project 2 system with the design patterns used in each layer.</w:t>
      </w:r>
    </w:p>
    <w:p>
      <w:r>
        <w:rPr>
          <w:rFonts w:ascii="Times New Roman" w:hAnsi="Times New Roman"/>
          <w:sz w:val="21"/>
        </w:rPr>
        <w:t>Recommended placement: Architecture subsection (Component 2.3.2); the note at the bottom of the figure maps MVC, DAO, Singleton, Factory, Observer, Strategy and Unit of Work to the classes.</w:t>
      </w:r>
    </w:p>
    <w:sectPr w:rsidR="00FC693F" w:rsidRPr="0006063C" w:rsidSect="00034616">
      <w:pgSz w:w="11909" w:h="16834"/>
      <w:pgMar w:top="1008" w:right="1411" w:bottom="100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 Design Figures (Report-Ready Draft)</dc:title>
  <dc:subject>COMP603/ENSE600 Project 2 - StockFlow Inventory Management System</dc:subject>
  <dc:creator>Yuheng Hu (26366447)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