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3C82B" w14:textId="5F97A56B" w:rsidR="00565F58" w:rsidRDefault="00565F58" w:rsidP="00565F58">
      <w:pPr>
        <w:pStyle w:val="NormalWeb"/>
        <w:shd w:val="clear" w:color="auto" w:fill="FFFFFF"/>
        <w:spacing w:before="0" w:beforeAutospacing="0" w:after="0" w:afterAutospacing="0" w:line="390" w:lineRule="atLeast"/>
        <w:textAlignment w:val="baseline"/>
        <w:rPr>
          <w:rStyle w:val="Strong"/>
          <w:rFonts w:ascii="inherit" w:hAnsi="inherit"/>
          <w:color w:val="1A1914"/>
          <w:sz w:val="26"/>
          <w:szCs w:val="26"/>
          <w:bdr w:val="none" w:sz="0" w:space="0" w:color="auto" w:frame="1"/>
        </w:rPr>
      </w:pPr>
      <w:r>
        <w:rPr>
          <w:rStyle w:val="Strong"/>
          <w:rFonts w:ascii="inherit" w:hAnsi="inherit"/>
          <w:color w:val="1A1914"/>
          <w:sz w:val="26"/>
          <w:szCs w:val="26"/>
          <w:bdr w:val="none" w:sz="0" w:space="0" w:color="auto" w:frame="1"/>
        </w:rPr>
        <w:t xml:space="preserve">Review. </w:t>
      </w:r>
      <w:proofErr w:type="spellStart"/>
      <w:r>
        <w:rPr>
          <w:rStyle w:val="Strong"/>
          <w:rFonts w:ascii="inherit" w:hAnsi="inherit"/>
          <w:color w:val="1A1914"/>
          <w:sz w:val="26"/>
          <w:szCs w:val="26"/>
          <w:bdr w:val="none" w:sz="0" w:space="0" w:color="auto" w:frame="1"/>
        </w:rPr>
        <w:t>Brassinosteroids</w:t>
      </w:r>
      <w:proofErr w:type="spellEnd"/>
      <w:r>
        <w:rPr>
          <w:rStyle w:val="Strong"/>
          <w:rFonts w:ascii="inherit" w:hAnsi="inherit"/>
          <w:color w:val="1A1914"/>
          <w:sz w:val="26"/>
          <w:szCs w:val="26"/>
          <w:bdr w:val="none" w:sz="0" w:space="0" w:color="auto" w:frame="1"/>
        </w:rPr>
        <w:t>: Multi-dimensional regulators of plant growth, development, and stress responses</w:t>
      </w:r>
    </w:p>
    <w:p w14:paraId="57B1E864" w14:textId="7C24546A" w:rsidR="00E3410A" w:rsidRDefault="00E3410A" w:rsidP="00565F58">
      <w:pPr>
        <w:pStyle w:val="NormalWeb"/>
        <w:shd w:val="clear" w:color="auto" w:fill="FFFFFF"/>
        <w:spacing w:before="0" w:beforeAutospacing="0" w:after="0" w:afterAutospacing="0" w:line="390" w:lineRule="atLeast"/>
        <w:textAlignment w:val="baseline"/>
        <w:rPr>
          <w:rFonts w:ascii="HelveticaNeue" w:hAnsi="HelveticaNeue" w:hint="eastAsia"/>
          <w:color w:val="1A1914"/>
          <w:sz w:val="26"/>
          <w:szCs w:val="26"/>
        </w:rPr>
      </w:pPr>
      <w:r>
        <w:rPr>
          <w:rFonts w:ascii="SimSun" w:eastAsia="SimSun" w:hAnsi="SimSun" w:cs="SimSun" w:hint="eastAsia"/>
          <w:color w:val="1A1914"/>
          <w:sz w:val="26"/>
          <w:szCs w:val="26"/>
        </w:rPr>
        <w:t>综述。油菜素类固醇：植物生长、发育和抗性反应的多维调节剂。</w:t>
      </w:r>
    </w:p>
    <w:p w14:paraId="7CE2866E" w14:textId="37AFA156" w:rsidR="00565F58" w:rsidRDefault="00E3410A" w:rsidP="00565F58">
      <w:pPr>
        <w:pStyle w:val="NormalWeb"/>
        <w:shd w:val="clear" w:color="auto" w:fill="FFFFFF"/>
        <w:spacing w:before="0" w:beforeAutospacing="0" w:after="0" w:afterAutospacing="0" w:line="390" w:lineRule="atLeast"/>
        <w:textAlignment w:val="baseline"/>
        <w:rPr>
          <w:rFonts w:ascii="HelveticaNeue" w:hAnsi="HelveticaNeue"/>
          <w:color w:val="1A1914"/>
          <w:sz w:val="26"/>
          <w:szCs w:val="26"/>
        </w:rPr>
      </w:pPr>
      <w:r w:rsidRPr="00E3410A">
        <w:rPr>
          <w:rFonts w:ascii="HelveticaNeue" w:hAnsi="HelveticaNeue"/>
          <w:color w:val="1A1914"/>
          <w:sz w:val="26"/>
          <w:szCs w:val="26"/>
        </w:rPr>
        <w:drawing>
          <wp:inline distT="0" distB="0" distL="0" distR="0" wp14:anchorId="2052CBF8" wp14:editId="5BC39FF7">
            <wp:extent cx="3177817" cy="2726267"/>
            <wp:effectExtent l="0" t="0" r="0" b="444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99629" cy="2744980"/>
                    </a:xfrm>
                    <a:prstGeom prst="rect">
                      <a:avLst/>
                    </a:prstGeom>
                  </pic:spPr>
                </pic:pic>
              </a:graphicData>
            </a:graphic>
          </wp:inline>
        </w:drawing>
      </w:r>
    </w:p>
    <w:p w14:paraId="45A3078A" w14:textId="0B6355E2" w:rsidR="00565F58" w:rsidRDefault="00565F58" w:rsidP="00565F58">
      <w:pPr>
        <w:pStyle w:val="NormalWeb"/>
        <w:shd w:val="clear" w:color="auto" w:fill="FFFFFF"/>
        <w:spacing w:before="0" w:beforeAutospacing="0" w:after="0" w:afterAutospacing="0" w:line="390" w:lineRule="atLeast"/>
        <w:textAlignment w:val="baseline"/>
        <w:rPr>
          <w:rFonts w:ascii="HelveticaNeue" w:hAnsi="HelveticaNeue"/>
          <w:color w:val="1A1914"/>
          <w:sz w:val="26"/>
          <w:szCs w:val="26"/>
        </w:rPr>
      </w:pPr>
      <w:r>
        <w:rPr>
          <w:rFonts w:ascii="HelveticaNeue" w:hAnsi="HelveticaNeue"/>
          <w:color w:val="1A1914"/>
          <w:sz w:val="26"/>
          <w:szCs w:val="26"/>
        </w:rPr>
        <w:t xml:space="preserve">It’s been fifty years since the existence of </w:t>
      </w:r>
      <w:proofErr w:type="spellStart"/>
      <w:r>
        <w:rPr>
          <w:rFonts w:ascii="HelveticaNeue" w:hAnsi="HelveticaNeue"/>
          <w:color w:val="1A1914"/>
          <w:sz w:val="26"/>
          <w:szCs w:val="26"/>
        </w:rPr>
        <w:t>brassinosteroids</w:t>
      </w:r>
      <w:proofErr w:type="spellEnd"/>
      <w:r>
        <w:rPr>
          <w:rFonts w:ascii="HelveticaNeue" w:hAnsi="HelveticaNeue"/>
          <w:color w:val="1A1914"/>
          <w:sz w:val="26"/>
          <w:szCs w:val="26"/>
        </w:rPr>
        <w:t xml:space="preserve"> was shown, and about thirty since the awesome power of Arabidopsis genetics started to reveal the genes involved in its synthesis, perception and signaling. Nolan et al. review the highlights of </w:t>
      </w:r>
      <w:proofErr w:type="spellStart"/>
      <w:r>
        <w:rPr>
          <w:rFonts w:ascii="HelveticaNeue" w:hAnsi="HelveticaNeue"/>
          <w:color w:val="1A1914"/>
          <w:sz w:val="26"/>
          <w:szCs w:val="26"/>
        </w:rPr>
        <w:t>brassinosteroid</w:t>
      </w:r>
      <w:proofErr w:type="spellEnd"/>
      <w:r>
        <w:rPr>
          <w:rFonts w:ascii="HelveticaNeue" w:hAnsi="HelveticaNeue"/>
          <w:color w:val="1A1914"/>
          <w:sz w:val="26"/>
          <w:szCs w:val="26"/>
        </w:rPr>
        <w:t xml:space="preserve"> research and also more recent findings, particularly new insights into how it intersects with other hormones and signals, and its contributions to stress responses. The authors discuss how manipulations of </w:t>
      </w:r>
      <w:proofErr w:type="spellStart"/>
      <w:r>
        <w:rPr>
          <w:rFonts w:ascii="HelveticaNeue" w:hAnsi="HelveticaNeue"/>
          <w:color w:val="1A1914"/>
          <w:sz w:val="26"/>
          <w:szCs w:val="26"/>
        </w:rPr>
        <w:t>brassinosteroid</w:t>
      </w:r>
      <w:proofErr w:type="spellEnd"/>
      <w:r>
        <w:rPr>
          <w:rFonts w:ascii="HelveticaNeue" w:hAnsi="HelveticaNeue"/>
          <w:color w:val="1A1914"/>
          <w:sz w:val="26"/>
          <w:szCs w:val="26"/>
        </w:rPr>
        <w:t xml:space="preserve"> biology can be applied in </w:t>
      </w:r>
      <w:proofErr w:type="gramStart"/>
      <w:r>
        <w:rPr>
          <w:rFonts w:ascii="HelveticaNeue" w:hAnsi="HelveticaNeue"/>
          <w:color w:val="1A1914"/>
          <w:sz w:val="26"/>
          <w:szCs w:val="26"/>
        </w:rPr>
        <w:t>crops, and</w:t>
      </w:r>
      <w:proofErr w:type="gramEnd"/>
      <w:r>
        <w:rPr>
          <w:rFonts w:ascii="HelveticaNeue" w:hAnsi="HelveticaNeue"/>
          <w:color w:val="1A1914"/>
          <w:sz w:val="26"/>
          <w:szCs w:val="26"/>
        </w:rPr>
        <w:t xml:space="preserve"> identify key unresolved questions. (Summary by </w:t>
      </w:r>
      <w:hyperlink r:id="rId5" w:tgtFrame="_blank" w:history="1">
        <w:r>
          <w:rPr>
            <w:rStyle w:val="Hyperlink"/>
            <w:rFonts w:ascii="HelveticaNeue" w:hAnsi="HelveticaNeue"/>
            <w:color w:val="428575"/>
            <w:sz w:val="26"/>
            <w:szCs w:val="26"/>
            <w:bdr w:val="none" w:sz="0" w:space="0" w:color="auto" w:frame="1"/>
          </w:rPr>
          <w:t>Mary Williams</w:t>
        </w:r>
      </w:hyperlink>
      <w:r>
        <w:rPr>
          <w:rFonts w:ascii="HelveticaNeue" w:hAnsi="HelveticaNeue"/>
          <w:color w:val="1A1914"/>
          <w:sz w:val="26"/>
          <w:szCs w:val="26"/>
        </w:rPr>
        <w:t>) Plant Cell </w:t>
      </w:r>
      <w:hyperlink r:id="rId6" w:tgtFrame="_blank" w:history="1">
        <w:r>
          <w:rPr>
            <w:rStyle w:val="Hyperlink"/>
            <w:rFonts w:ascii="HelveticaNeue" w:hAnsi="HelveticaNeue"/>
            <w:color w:val="428575"/>
            <w:sz w:val="26"/>
            <w:szCs w:val="26"/>
            <w:bdr w:val="none" w:sz="0" w:space="0" w:color="auto" w:frame="1"/>
          </w:rPr>
          <w:t>10.1105/tpc.19.00335</w:t>
        </w:r>
      </w:hyperlink>
    </w:p>
    <w:p w14:paraId="6F0CE21D" w14:textId="4DBB2C35" w:rsidR="00565F58" w:rsidRDefault="00E3410A">
      <w:r w:rsidRPr="00E3410A">
        <w:rPr>
          <w:rFonts w:hint="eastAsia"/>
        </w:rPr>
        <w:t>自从油菜素类固醇</w:t>
      </w:r>
      <w:r>
        <w:rPr>
          <w:rFonts w:hint="eastAsia"/>
        </w:rPr>
        <w:t>被发现</w:t>
      </w:r>
      <w:r w:rsidRPr="00E3410A">
        <w:rPr>
          <w:rFonts w:hint="eastAsia"/>
        </w:rPr>
        <w:t>以来已有五十年了，而自</w:t>
      </w:r>
      <w:r w:rsidR="00A92557">
        <w:rPr>
          <w:rFonts w:hint="eastAsia"/>
        </w:rPr>
        <w:t>三十年前，通过借助强大的</w:t>
      </w:r>
      <w:r w:rsidRPr="00E3410A">
        <w:rPr>
          <w:rFonts w:hint="eastAsia"/>
        </w:rPr>
        <w:t>拟南芥遗传学</w:t>
      </w:r>
      <w:r w:rsidR="00A92557">
        <w:rPr>
          <w:rFonts w:hint="eastAsia"/>
        </w:rPr>
        <w:t>力量，人们</w:t>
      </w:r>
      <w:r w:rsidRPr="00E3410A">
        <w:rPr>
          <w:rFonts w:hint="eastAsia"/>
        </w:rPr>
        <w:t>开始揭示涉及</w:t>
      </w:r>
      <w:r w:rsidR="00A92557" w:rsidRPr="00E3410A">
        <w:rPr>
          <w:rFonts w:hint="eastAsia"/>
        </w:rPr>
        <w:t>油菜素类固醇</w:t>
      </w:r>
      <w:r w:rsidRPr="00E3410A">
        <w:rPr>
          <w:rFonts w:hint="eastAsia"/>
        </w:rPr>
        <w:t>合成</w:t>
      </w:r>
      <w:r w:rsidR="00A92557">
        <w:rPr>
          <w:rFonts w:hint="eastAsia"/>
        </w:rPr>
        <w:t>、</w:t>
      </w:r>
      <w:r w:rsidRPr="00E3410A">
        <w:rPr>
          <w:rFonts w:hint="eastAsia"/>
        </w:rPr>
        <w:t>感</w:t>
      </w:r>
      <w:r w:rsidR="00A92557">
        <w:rPr>
          <w:rFonts w:hint="eastAsia"/>
        </w:rPr>
        <w:t>应</w:t>
      </w:r>
      <w:r w:rsidRPr="00E3410A">
        <w:rPr>
          <w:rFonts w:hint="eastAsia"/>
        </w:rPr>
        <w:t>和信号传导</w:t>
      </w:r>
      <w:r w:rsidR="00A92557">
        <w:rPr>
          <w:rFonts w:hint="eastAsia"/>
        </w:rPr>
        <w:t>相关</w:t>
      </w:r>
      <w:r w:rsidRPr="00E3410A">
        <w:rPr>
          <w:rFonts w:hint="eastAsia"/>
        </w:rPr>
        <w:t>基因。</w:t>
      </w:r>
      <w:r w:rsidRPr="00E3410A">
        <w:rPr>
          <w:rFonts w:hint="eastAsia"/>
        </w:rPr>
        <w:t xml:space="preserve"> Nolan</w:t>
      </w:r>
      <w:r w:rsidRPr="00E3410A">
        <w:rPr>
          <w:rFonts w:hint="eastAsia"/>
        </w:rPr>
        <w:t>等回顾油菜素类固醇研究的重点以及最近的发现，尤其是它如何与其他激素和信号</w:t>
      </w:r>
      <w:r w:rsidR="00A92557">
        <w:rPr>
          <w:rFonts w:hint="eastAsia"/>
        </w:rPr>
        <w:t>分子相互影响，</w:t>
      </w:r>
      <w:r w:rsidRPr="00E3410A">
        <w:rPr>
          <w:rFonts w:hint="eastAsia"/>
        </w:rPr>
        <w:t>及其对</w:t>
      </w:r>
      <w:r w:rsidR="00A92557">
        <w:rPr>
          <w:rFonts w:hint="eastAsia"/>
        </w:rPr>
        <w:t>植物应对</w:t>
      </w:r>
      <w:r w:rsidRPr="00E3410A">
        <w:rPr>
          <w:rFonts w:hint="eastAsia"/>
        </w:rPr>
        <w:t>压力</w:t>
      </w:r>
      <w:r w:rsidR="00A92557">
        <w:rPr>
          <w:rFonts w:hint="eastAsia"/>
        </w:rPr>
        <w:t>所起</w:t>
      </w:r>
      <w:r w:rsidRPr="00E3410A">
        <w:rPr>
          <w:rFonts w:hint="eastAsia"/>
        </w:rPr>
        <w:t>的</w:t>
      </w:r>
      <w:r w:rsidR="00A92557">
        <w:rPr>
          <w:rFonts w:hint="eastAsia"/>
        </w:rPr>
        <w:t>作用</w:t>
      </w:r>
      <w:r w:rsidRPr="00E3410A">
        <w:rPr>
          <w:rFonts w:hint="eastAsia"/>
        </w:rPr>
        <w:t>。</w:t>
      </w:r>
      <w:r w:rsidRPr="00E3410A">
        <w:rPr>
          <w:rFonts w:hint="eastAsia"/>
        </w:rPr>
        <w:t xml:space="preserve"> </w:t>
      </w:r>
      <w:r w:rsidRPr="00E3410A">
        <w:rPr>
          <w:rFonts w:hint="eastAsia"/>
        </w:rPr>
        <w:t>作者讨论了</w:t>
      </w:r>
      <w:r w:rsidR="00A13D9A">
        <w:rPr>
          <w:rFonts w:hint="eastAsia"/>
        </w:rPr>
        <w:t>控制</w:t>
      </w:r>
      <w:r w:rsidRPr="00E3410A">
        <w:rPr>
          <w:rFonts w:hint="eastAsia"/>
        </w:rPr>
        <w:t>油菜素类固醇</w:t>
      </w:r>
      <w:r w:rsidR="00A13D9A">
        <w:rPr>
          <w:rFonts w:hint="eastAsia"/>
        </w:rPr>
        <w:t>的相关反应</w:t>
      </w:r>
      <w:r w:rsidR="00A13D9A" w:rsidRPr="00E3410A">
        <w:rPr>
          <w:rFonts w:hint="eastAsia"/>
        </w:rPr>
        <w:t>在作物中</w:t>
      </w:r>
      <w:r w:rsidR="00A13D9A">
        <w:rPr>
          <w:rFonts w:hint="eastAsia"/>
        </w:rPr>
        <w:t>的应用</w:t>
      </w:r>
      <w:bookmarkStart w:id="0" w:name="_GoBack"/>
      <w:bookmarkEnd w:id="0"/>
      <w:r w:rsidRPr="00E3410A">
        <w:rPr>
          <w:rFonts w:hint="eastAsia"/>
        </w:rPr>
        <w:t>，并</w:t>
      </w:r>
      <w:r w:rsidR="00A92557">
        <w:rPr>
          <w:rFonts w:hint="eastAsia"/>
        </w:rPr>
        <w:t>明确</w:t>
      </w:r>
      <w:r w:rsidRPr="00E3410A">
        <w:rPr>
          <w:rFonts w:hint="eastAsia"/>
        </w:rPr>
        <w:t>了尚未解决的关键问题。</w:t>
      </w:r>
    </w:p>
    <w:sectPr w:rsidR="00565F58" w:rsidSect="00125EA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Helvetica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F58"/>
    <w:rsid w:val="00125EAD"/>
    <w:rsid w:val="00565F58"/>
    <w:rsid w:val="00A13D9A"/>
    <w:rsid w:val="00A92557"/>
    <w:rsid w:val="00E341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4865987"/>
  <w15:chartTrackingRefBased/>
  <w15:docId w15:val="{EDCCF6D6-C2C2-C547-81B8-0C1FD8BE1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65F5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565F58"/>
    <w:rPr>
      <w:b/>
      <w:bCs/>
    </w:rPr>
  </w:style>
  <w:style w:type="character" w:styleId="Hyperlink">
    <w:name w:val="Hyperlink"/>
    <w:basedOn w:val="DefaultParagraphFont"/>
    <w:uiPriority w:val="99"/>
    <w:semiHidden/>
    <w:unhideWhenUsed/>
    <w:rsid w:val="00565F5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457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plantcell.org/content/early/2019/11/27/tpc.19.00335" TargetMode="External"/><Relationship Id="rId5" Type="http://schemas.openxmlformats.org/officeDocument/2006/relationships/hyperlink" Target="https://community.plantae.org/user/MaryWilliams" TargetMode="Externa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165</Words>
  <Characters>944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Huyu [AGRON]</dc:creator>
  <cp:keywords/>
  <dc:description/>
  <cp:lastModifiedBy>Liu, Huyu [AGRON]</cp:lastModifiedBy>
  <cp:revision>2</cp:revision>
  <dcterms:created xsi:type="dcterms:W3CDTF">2019-12-20T19:35:00Z</dcterms:created>
  <dcterms:modified xsi:type="dcterms:W3CDTF">2019-12-24T14:20:00Z</dcterms:modified>
</cp:coreProperties>
</file>