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启明仪式风险评估报告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t>报告编号</w:t>
            </w:r>
          </w:p>
        </w:tc>
        <w:tc>
          <w:tcPr>
            <w:tcW w:type="dxa" w:w="6480"/>
          </w:tcPr>
          <w:p>
            <w:r>
              <w:t>RM-2024-0042</w:t>
            </w:r>
          </w:p>
        </w:tc>
      </w:tr>
      <w:tr>
        <w:tc>
          <w:tcPr>
            <w:tcW w:type="dxa" w:w="2160"/>
          </w:tcPr>
          <w:p>
            <w:r>
              <w:t>仪式批次</w:t>
            </w:r>
          </w:p>
        </w:tc>
        <w:tc>
          <w:tcPr>
            <w:tcW w:type="dxa" w:w="6480"/>
          </w:tcPr>
          <w:p>
            <w:r>
              <w:t>第127批启明</w:t>
            </w:r>
          </w:p>
        </w:tc>
      </w:tr>
      <w:tr>
        <w:tc>
          <w:tcPr>
            <w:tcW w:type="dxa" w:w="2160"/>
          </w:tcPr>
          <w:p>
            <w:r>
              <w:t>评估日期</w:t>
            </w:r>
          </w:p>
        </w:tc>
        <w:tc>
          <w:tcPr>
            <w:tcW w:type="dxa" w:w="6480"/>
          </w:tcPr>
          <w:p>
            <w:r>
              <w:t>2024年12月10日</w:t>
            </w:r>
          </w:p>
        </w:tc>
      </w:tr>
      <w:tr>
        <w:tc>
          <w:tcPr>
            <w:tcW w:type="dxa" w:w="2160"/>
          </w:tcPr>
          <w:p>
            <w:r>
              <w:t>评估机构</w:t>
            </w:r>
          </w:p>
        </w:tc>
        <w:tc>
          <w:tcPr>
            <w:tcW w:type="dxa" w:w="6480"/>
          </w:tcPr>
          <w:p>
            <w:r>
              <w:t>祭司团风险管理委员会</w:t>
            </w:r>
          </w:p>
        </w:tc>
      </w:tr>
      <w:tr>
        <w:tc>
          <w:tcPr>
            <w:tcW w:type="dxa" w:w="2160"/>
          </w:tcPr>
          <w:p>
            <w:r>
              <w:t>审批人</w:t>
            </w:r>
          </w:p>
        </w:tc>
        <w:tc>
          <w:tcPr>
            <w:tcW w:type="dxa" w:w="6480"/>
          </w:tcPr>
          <w:p>
            <w:r>
              <w:t>首席掌灯人 李星河</w:t>
            </w:r>
          </w:p>
        </w:tc>
      </w:tr>
    </w:tbl>
    <w:p/>
    <w:p>
      <w:pPr>
        <w:pStyle w:val="Heading2"/>
      </w:pPr>
      <w:r>
        <w:t>一、启明仪式概述</w:t>
      </w:r>
    </w:p>
    <w:p>
      <w:r>
        <w:t>启明是新谐振腔在完成开光与试音后的首次受控放量仪式，由掌灯人亲自主持。启明前须完成开光与试音，确认谐振腔结构完好、镀层无缺陷、嗡鸣度监测设备校准完毕。本次第127批启明涉及8个新谐振腔，计划于12月20日依次进行。试音阶段仅进行微量测试，启明阶段才执行正式受控放量，因此该过程仍存在多种风险因素。</w:t>
      </w:r>
    </w:p>
    <w:p>
      <w:pPr>
        <w:pStyle w:val="Heading2"/>
      </w:pPr>
      <w:r>
        <w:t>二、风险识别与评估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风险项</w:t>
            </w:r>
          </w:p>
        </w:tc>
        <w:tc>
          <w:tcPr>
            <w:tcW w:type="dxa" w:w="2160"/>
          </w:tcPr>
          <w:p>
            <w:r>
              <w:t>发生概率</w:t>
            </w:r>
          </w:p>
        </w:tc>
        <w:tc>
          <w:tcPr>
            <w:tcW w:type="dxa" w:w="2160"/>
          </w:tcPr>
          <w:p>
            <w:r>
              <w:t>影响程度</w:t>
            </w:r>
          </w:p>
        </w:tc>
        <w:tc>
          <w:tcPr>
            <w:tcW w:type="dxa" w:w="2160"/>
          </w:tcPr>
          <w:p>
            <w:r>
              <w:t>风险等级</w:t>
            </w:r>
          </w:p>
        </w:tc>
      </w:tr>
      <w:tr>
        <w:tc>
          <w:tcPr>
            <w:tcW w:type="dxa" w:w="2160"/>
          </w:tcPr>
          <w:p>
            <w:r>
              <w:t>嗡鸣度超限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高风险</w:t>
            </w:r>
          </w:p>
        </w:tc>
      </w:tr>
      <w:tr>
        <w:tc>
          <w:tcPr>
            <w:tcW w:type="dxa" w:w="2160"/>
          </w:tcPr>
          <w:p>
            <w:r>
              <w:t>潮涌触发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极高</w:t>
            </w:r>
          </w:p>
        </w:tc>
        <w:tc>
          <w:tcPr>
            <w:tcW w:type="dxa" w:w="2160"/>
          </w:tcPr>
          <w:p>
            <w:r>
              <w:t>高风险</w:t>
            </w:r>
          </w:p>
        </w:tc>
      </w:tr>
      <w:tr>
        <w:tc>
          <w:tcPr>
            <w:tcW w:type="dxa" w:w="2160"/>
          </w:tcPr>
          <w:p>
            <w:r>
              <w:t>晶格化不完全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中风险</w:t>
            </w:r>
          </w:p>
        </w:tc>
      </w:tr>
      <w:tr>
        <w:tc>
          <w:tcPr>
            <w:tcW w:type="dxa" w:w="2160"/>
          </w:tcPr>
          <w:p>
            <w:r>
              <w:t>镀层缺陷暴露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中风险</w:t>
            </w:r>
          </w:p>
        </w:tc>
      </w:tr>
      <w:tr>
        <w:tc>
          <w:tcPr>
            <w:tcW w:type="dxa" w:w="2160"/>
          </w:tcPr>
          <w:p>
            <w:r>
              <w:t>红线突破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极高</w:t>
            </w:r>
          </w:p>
        </w:tc>
        <w:tc>
          <w:tcPr>
            <w:tcW w:type="dxa" w:w="2160"/>
          </w:tcPr>
          <w:p>
            <w:r>
              <w:t>高风险</w:t>
            </w:r>
          </w:p>
        </w:tc>
      </w:tr>
    </w:tbl>
    <w:p/>
    <w:p>
      <w:pPr>
        <w:pStyle w:val="Heading2"/>
      </w:pPr>
      <w:r>
        <w:t>三、关键风险详述</w:t>
      </w:r>
    </w:p>
    <w:p>
      <w:pPr>
        <w:pStyle w:val="Heading3"/>
      </w:pPr>
      <w:r>
        <w:t>3.1 嗡鸣度超限风险</w:t>
      </w:r>
    </w:p>
    <w:p>
      <w:r>
        <w:t>启明瞬间哈基米注入可能引发嗡鸣度剧烈波动，超过红线阈值。防控措施：注入速率分级控制，每级注入后等待嗡鸣度稳定，回音壁实时监测，异常时立即暂停注入。</w:t>
      </w:r>
    </w:p>
    <w:p>
      <w:pPr>
        <w:pStyle w:val="Heading3"/>
      </w:pPr>
      <w:r>
        <w:t>3.2 潮涌触发风险</w:t>
      </w:r>
    </w:p>
    <w:p>
      <w:r>
        <w:t>哈基米注入可能引发潮涌现象，导致浓度急剧升高。防控措施：提前部署引雷针引导潮涌能量，判官系统实时监控，必要时启动锁龙井应急程序。潮涌预警阈值设定为正常浓度的150%。</w:t>
      </w:r>
    </w:p>
    <w:p>
      <w:pPr>
        <w:pStyle w:val="Heading3"/>
      </w:pPr>
      <w:r>
        <w:t>3.3 红线突破风险</w:t>
      </w:r>
    </w:p>
    <w:p>
      <w:r>
        <w:t>红线是嗡鸣度不可超过的绝对阈值，一旦突破可能触发谐振腔坍缩。判官系统将在嗡鸣度达到红线80%时发出预警，达到90%时自动降低注入速率，达到95%时暂停注入并启动锁龙井保护。</w:t>
      </w:r>
    </w:p>
    <w:p>
      <w:pPr>
        <w:pStyle w:val="Heading2"/>
      </w:pPr>
      <w:r>
        <w:t>四、应急预案</w:t>
      </w:r>
    </w:p>
    <w:p>
      <w:r>
        <w:t>启明仪式期间，锁龙井处于待命状态，可随时锁定谐振腔防止事态扩大。判官系统全程监控，拥有紧急泄洪决策权。掌灯人拥有最高中止权，可随时终止启明仪式。应急通讯链路保持畅通，所有参与人员佩戴通讯设备。</w:t>
      </w:r>
    </w:p>
    <w:p>
      <w:pPr>
        <w:pStyle w:val="Heading2"/>
      </w:pPr>
      <w:r>
        <w:t>五、评估结论</w:t>
      </w:r>
    </w:p>
    <w:p>
      <w:r>
        <w:t>经综合评估，第127批启明仪式风险可控，各项应急预案完备，同意按计划执行。建议启明前48小时完成所有设备最终检查，启明当日掌灯人、判官、守望者全部到岗。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