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哈基米贸易结算规范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6480"/>
          </w:tcPr>
          <w:p>
            <w:r>
              <w:t>TR-2024-022</w:t>
            </w:r>
          </w:p>
        </w:tc>
      </w:tr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6480"/>
          </w:tcPr>
          <w:p>
            <w:r>
              <w:t>V5.1</w:t>
            </w:r>
          </w:p>
        </w:tc>
      </w:tr>
      <w:tr>
        <w:tc>
          <w:tcPr>
            <w:tcW w:type="dxa" w:w="2160"/>
          </w:tcPr>
          <w:p>
            <w:r>
              <w:t>生效日期</w:t>
            </w:r>
          </w:p>
        </w:tc>
        <w:tc>
          <w:tcPr>
            <w:tcW w:type="dxa" w:w="6480"/>
          </w:tcPr>
          <w:p>
            <w:r>
              <w:t>2024年12月01日</w:t>
            </w:r>
          </w:p>
        </w:tc>
      </w:tr>
      <w:tr>
        <w:tc>
          <w:tcPr>
            <w:tcW w:type="dxa" w:w="2160"/>
          </w:tcPr>
          <w:p>
            <w:r>
              <w:t>编制部门</w:t>
            </w:r>
          </w:p>
        </w:tc>
        <w:tc>
          <w:tcPr>
            <w:tcW w:type="dxa" w:w="6480"/>
          </w:tcPr>
          <w:p>
            <w:r>
              <w:t>账房与审计委员会</w:t>
            </w:r>
          </w:p>
        </w:tc>
      </w:tr>
      <w:tr>
        <w:tc>
          <w:tcPr>
            <w:tcW w:type="dxa" w:w="2160"/>
          </w:tcPr>
          <w:p>
            <w:r>
              <w:t>适用范围</w:t>
            </w:r>
          </w:p>
        </w:tc>
        <w:tc>
          <w:tcPr>
            <w:tcW w:type="dxa" w:w="6480"/>
          </w:tcPr>
          <w:p>
            <w:r>
              <w:t>全部哈基米交易与结算</w:t>
            </w:r>
          </w:p>
        </w:tc>
      </w:tr>
    </w:tbl>
    <w:p/>
    <w:p>
      <w:pPr>
        <w:pStyle w:val="Heading2"/>
      </w:pPr>
      <w:r>
        <w:t>一、总则</w:t>
      </w:r>
    </w:p>
    <w:p>
      <w:r>
        <w:t>本规范规定了哈基米交易过程中的结算标准、流程和要求。所有哈基米交易必须遵循旋涡协议进行传输，确保交易过程可追溯、可审计。账房系统负责记录全部哈基米收支，每日生成对账报告。交易双方须在交易前完成对钟，确保时间同步精度在±5ms以内。</w:t>
      </w:r>
    </w:p>
    <w:p>
      <w:pPr>
        <w:pStyle w:val="Heading2"/>
      </w:pPr>
      <w:r>
        <w:t>二、结算标准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哈基米等级</w:t>
            </w:r>
          </w:p>
        </w:tc>
        <w:tc>
          <w:tcPr>
            <w:tcW w:type="dxa" w:w="2160"/>
          </w:tcPr>
          <w:p>
            <w:r>
              <w:t>清浊比范围</w:t>
            </w:r>
          </w:p>
        </w:tc>
        <w:tc>
          <w:tcPr>
            <w:tcW w:type="dxa" w:w="2160"/>
          </w:tcPr>
          <w:p>
            <w:r>
              <w:t>结算系数</w:t>
            </w:r>
          </w:p>
        </w:tc>
        <w:tc>
          <w:tcPr>
            <w:tcW w:type="dxa" w:w="2160"/>
          </w:tcPr>
          <w:p>
            <w:r>
              <w:t>晶格化要求</w:t>
            </w:r>
          </w:p>
        </w:tc>
      </w:tr>
      <w:tr>
        <w:tc>
          <w:tcPr>
            <w:tcW w:type="dxa" w:w="2160"/>
          </w:tcPr>
          <w:p>
            <w:r>
              <w:t>特级品</w:t>
            </w:r>
          </w:p>
        </w:tc>
        <w:tc>
          <w:tcPr>
            <w:tcW w:type="dxa" w:w="2160"/>
          </w:tcPr>
          <w:p>
            <w:r>
              <w:t>≥19.0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标准晶格化</w:t>
            </w:r>
          </w:p>
        </w:tc>
      </w:tr>
      <w:tr>
        <w:tc>
          <w:tcPr>
            <w:tcW w:type="dxa" w:w="2160"/>
          </w:tcPr>
          <w:p>
            <w:r>
              <w:t>一级品</w:t>
            </w:r>
          </w:p>
        </w:tc>
        <w:tc>
          <w:tcPr>
            <w:tcW w:type="dxa" w:w="2160"/>
          </w:tcPr>
          <w:p>
            <w:r>
              <w:t>≥9.0</w:t>
            </w:r>
          </w:p>
        </w:tc>
        <w:tc>
          <w:tcPr>
            <w:tcW w:type="dxa" w:w="2160"/>
          </w:tcPr>
          <w:p>
            <w:r>
              <w:t>0.92</w:t>
            </w:r>
          </w:p>
        </w:tc>
        <w:tc>
          <w:tcPr>
            <w:tcW w:type="dxa" w:w="2160"/>
          </w:tcPr>
          <w:p>
            <w:r>
              <w:t>标准晶格化</w:t>
            </w:r>
          </w:p>
        </w:tc>
      </w:tr>
      <w:tr>
        <w:tc>
          <w:tcPr>
            <w:tcW w:type="dxa" w:w="2160"/>
          </w:tcPr>
          <w:p>
            <w:r>
              <w:t>二级品</w:t>
            </w:r>
          </w:p>
        </w:tc>
        <w:tc>
          <w:tcPr>
            <w:tcW w:type="dxa" w:w="2160"/>
          </w:tcPr>
          <w:p>
            <w:r>
              <w:t>≥7.0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标准晶格化</w:t>
            </w:r>
          </w:p>
        </w:tc>
      </w:tr>
      <w:tr>
        <w:tc>
          <w:tcPr>
            <w:tcW w:type="dxa" w:w="2160"/>
          </w:tcPr>
          <w:p>
            <w:r>
              <w:t>三级品</w:t>
            </w:r>
          </w:p>
        </w:tc>
        <w:tc>
          <w:tcPr>
            <w:tcW w:type="dxa" w:w="2160"/>
          </w:tcPr>
          <w:p>
            <w:r>
              <w:t>≥5.6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  <w:tc>
          <w:tcPr>
            <w:tcW w:type="dxa" w:w="2160"/>
          </w:tcPr>
          <w:p>
            <w:r>
              <w:t>简化晶格化</w:t>
            </w:r>
          </w:p>
        </w:tc>
      </w:tr>
    </w:tbl>
    <w:p/>
    <w:p>
      <w:pPr>
        <w:pStyle w:val="Heading2"/>
      </w:pPr>
      <w:r>
        <w:t>三、交易流程</w:t>
      </w:r>
    </w:p>
    <w:p>
      <w:r>
        <w:t>标准交易流程如下：交易双方确认哈基米等级和数量后，通过旋涡协议建立传输通道。传输过程中，信使进程实时传递状态信息，账房系统同步记录收支。传输完成后，接收方进行晶格化质量检测，确认清浊比达标后完成结算。如检测不合格，启动退货或折价程序。</w:t>
      </w:r>
    </w:p>
    <w:p>
      <w:pPr>
        <w:pStyle w:val="Heading2"/>
      </w:pPr>
      <w:r>
        <w:t>四、驿站中转</w:t>
      </w:r>
    </w:p>
    <w:p>
      <w:r>
        <w:t>驿站是哈基米临时中转的缓冲节点，适用于长距离传输场景。哈基米到达驿站后，进行临时晶格化存储，等待下一程传输。在驿站的停留时间不得超过24小时，超时将启动温存模式维持哈基米活性。驿站周转记录须实时同步至账房系统，确保全程可追溯。</w:t>
      </w:r>
    </w:p>
    <w:p>
      <w:pPr>
        <w:pStyle w:val="Heading2"/>
      </w:pPr>
      <w:r>
        <w:t>五、特殊交易处理</w:t>
      </w:r>
    </w:p>
    <w:p>
      <w:r>
        <w:t>草船借箭是一种临时借用哈基米的特殊交易方式，适用于枯水期产能波动时。借用的哈基米须在约定时间内归还，并支付约定的利息。草船借箭交易须在账房系统中单独标注，纳入特殊交易审计范围。所有草船借箭交易须在月度审计报告中专项说明。</w:t>
      </w:r>
    </w:p>
    <w:p>
      <w:pPr>
        <w:pStyle w:val="Heading2"/>
      </w:pPr>
      <w:r>
        <w:t>六、审计要求</w:t>
      </w:r>
    </w:p>
    <w:p>
      <w:r>
        <w:t>账房系统每日执行自动对账，生成日结报告。月度审计由账房与审计委员会联合执行，重点核查：清浊比与结算系数的匹配性、旋涡协议传输完整性、驿站中转记录的连续性、草船借箭交易的合规性。审计期间如发现异常，可启用无字碑模式进行不记录日志的调试排查。年度审计结果作为下一年度交易配额的重要依据。</w:t>
      </w:r>
    </w:p>
    <w:p>
      <w:pPr>
        <w:pStyle w:val="Heading2"/>
      </w:pPr>
      <w:r>
        <w:t>七、对钟与时间同步</w:t>
      </w:r>
    </w:p>
    <w:p>
      <w:r>
        <w:t>对钟是确保交易双方时间同步的关键环节。每笔交易开始前，双方系统须执行对钟协议，时间偏差超过±5ms的交易视为无效。对钟记录由账房系统永久保存，作为交易时间戳的权威依据。每季度由祭司团组织一次全行业对钟校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E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