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守望者值班交接规范</w:t>
      </w:r>
    </w:p>
    <w:tbl>
      <w:tblPr>
        <w:tblStyle w:val="LightShading-Accent1"/>
        <w:tblW w:type="auto" w:w="0"/>
        <w:jc w:val="left"/>
        <w:tblLook w:firstColumn="1" w:firstRow="1" w:lastColumn="0" w:lastRow="0" w:noHBand="0" w:noVBand="1" w:val="04A0"/>
      </w:tblPr>
      <w:tblGrid>
        <w:gridCol w:w="4320"/>
        <w:gridCol w:w="4320"/>
      </w:tblGrid>
      <w:tr>
        <w:tc>
          <w:tcPr>
            <w:tcW w:type="dxa" w:w="2160"/>
          </w:tcPr>
          <w:p>
            <w:r>
              <w:t>文档编号</w:t>
            </w:r>
          </w:p>
        </w:tc>
        <w:tc>
          <w:tcPr>
            <w:tcW w:type="dxa" w:w="6480"/>
          </w:tcPr>
          <w:p>
            <w:r>
              <w:t>OP-2024-015</w:t>
            </w:r>
          </w:p>
        </w:tc>
      </w:tr>
      <w:tr>
        <w:tc>
          <w:tcPr>
            <w:tcW w:type="dxa" w:w="2160"/>
          </w:tcPr>
          <w:p>
            <w:r>
              <w:t>版本号</w:t>
            </w:r>
          </w:p>
        </w:tc>
        <w:tc>
          <w:tcPr>
            <w:tcW w:type="dxa" w:w="6480"/>
          </w:tcPr>
          <w:p>
            <w:r>
              <w:t>V2.8</w:t>
            </w:r>
          </w:p>
        </w:tc>
      </w:tr>
      <w:tr>
        <w:tc>
          <w:tcPr>
            <w:tcW w:type="dxa" w:w="2160"/>
          </w:tcPr>
          <w:p>
            <w:r>
              <w:t>生效日期</w:t>
            </w:r>
          </w:p>
        </w:tc>
        <w:tc>
          <w:tcPr>
            <w:tcW w:type="dxa" w:w="6480"/>
          </w:tcPr>
          <w:p>
            <w:r>
              <w:t>2024年11月01日</w:t>
            </w:r>
          </w:p>
        </w:tc>
      </w:tr>
      <w:tr>
        <w:tc>
          <w:tcPr>
            <w:tcW w:type="dxa" w:w="2160"/>
          </w:tcPr>
          <w:p>
            <w:r>
              <w:t>编制部门</w:t>
            </w:r>
          </w:p>
        </w:tc>
        <w:tc>
          <w:tcPr>
            <w:tcW w:type="dxa" w:w="6480"/>
          </w:tcPr>
          <w:p>
            <w:r>
              <w:t>守夜人管理委员会</w:t>
            </w:r>
          </w:p>
        </w:tc>
      </w:tr>
      <w:tr>
        <w:tc>
          <w:tcPr>
            <w:tcW w:type="dxa" w:w="2160"/>
          </w:tcPr>
          <w:p>
            <w:r>
              <w:t>适用对象</w:t>
            </w:r>
          </w:p>
        </w:tc>
        <w:tc>
          <w:tcPr>
            <w:tcW w:type="dxa" w:w="6480"/>
          </w:tcPr>
          <w:p>
            <w:r>
              <w:t>全体守望者及守夜人成员</w:t>
            </w:r>
          </w:p>
        </w:tc>
      </w:tr>
    </w:tbl>
    <w:p/>
    <w:p>
      <w:pPr>
        <w:pStyle w:val="Heading2"/>
      </w:pPr>
      <w:r>
        <w:t>一、值班职责</w:t>
      </w:r>
    </w:p>
    <w:p>
      <w:r>
        <w:t>守望者是监控静默态的核心角色，负责确保系统在非工作时段维持温存状态。守夜人团队实行三班倒制度，每班8小时，覆盖全天24小时。值班期间，守望者须通过回音壁持续监测嗡鸣度变化，确保嗡鸣度不低于底噪水平且不超过红线阈值。</w:t>
      </w:r>
    </w:p>
    <w:p>
      <w:pPr>
        <w:pStyle w:val="Heading2"/>
      </w:pPr>
      <w:r>
        <w:t>二、晨祷流程</w:t>
      </w:r>
    </w:p>
    <w:p>
      <w:r>
        <w:t>晨祷是每日系统启动检查流程，由早班守望者在06:00执行。晨祷内容包括：检查所有回音壁在线状态、读取嗡鸣度历史数据、确认无毛刺异常、验证盲区监测点正常运行、通报铁匠执行试音并记录结果。晨祷完成后填写晨祷记录表，提交祭司团备案。</w:t>
      </w:r>
    </w:p>
    <w:p>
      <w:pPr>
        <w:pStyle w:val="Heading2"/>
      </w:pPr>
      <w:r>
        <w:t>三、晚课流程</w:t>
      </w:r>
    </w:p>
    <w:p>
      <w:r>
        <w:t>晚课是每日关闭前数据归档流程，由夜班守望者在22:00执行。晚课内容包括：汇总当日嗡鸣度数据、归档异常事件记录、更新盲区地图、确认温存参数设置正确、由账房自动执行数据备份与归档。晚课完成后系统进入静默态，仅保留最低限度监测能力。</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检查项</w:t>
            </w:r>
          </w:p>
        </w:tc>
        <w:tc>
          <w:tcPr>
            <w:tcW w:type="dxa" w:w="2160"/>
          </w:tcPr>
          <w:p>
            <w:r>
              <w:t>正常标准</w:t>
            </w:r>
          </w:p>
        </w:tc>
        <w:tc>
          <w:tcPr>
            <w:tcW w:type="dxa" w:w="2160"/>
          </w:tcPr>
          <w:p>
            <w:r>
              <w:t>异常处理</w:t>
            </w:r>
          </w:p>
        </w:tc>
        <w:tc>
          <w:tcPr>
            <w:tcW w:type="dxa" w:w="2160"/>
          </w:tcPr>
          <w:p>
            <w:r>
              <w:t>报告路径</w:t>
            </w:r>
          </w:p>
        </w:tc>
      </w:tr>
      <w:tr>
        <w:tc>
          <w:tcPr>
            <w:tcW w:type="dxa" w:w="2160"/>
          </w:tcPr>
          <w:p>
            <w:r>
              <w:t>嗡鸣度</w:t>
            </w:r>
          </w:p>
        </w:tc>
        <w:tc>
          <w:tcPr>
            <w:tcW w:type="dxa" w:w="2160"/>
          </w:tcPr>
          <w:p>
            <w:r>
              <w:t>安全弦范围内</w:t>
            </w:r>
          </w:p>
        </w:tc>
        <w:tc>
          <w:tcPr>
            <w:tcW w:type="dxa" w:w="2160"/>
          </w:tcPr>
          <w:p>
            <w:r>
              <w:t>记录异常并通知看门狗/判官</w:t>
            </w:r>
          </w:p>
        </w:tc>
        <w:tc>
          <w:tcPr>
            <w:tcW w:type="dxa" w:w="2160"/>
          </w:tcPr>
          <w:p>
            <w:r>
              <w:t>守望者→看门狗→判官</w:t>
            </w:r>
          </w:p>
        </w:tc>
      </w:tr>
      <w:tr>
        <w:tc>
          <w:tcPr>
            <w:tcW w:type="dxa" w:w="2160"/>
          </w:tcPr>
          <w:p>
            <w:r>
              <w:t>回音壁状态</w:t>
            </w:r>
          </w:p>
        </w:tc>
        <w:tc>
          <w:tcPr>
            <w:tcW w:type="dxa" w:w="2160"/>
          </w:tcPr>
          <w:p>
            <w:r>
              <w:t>全部在线</w:t>
            </w:r>
          </w:p>
        </w:tc>
        <w:tc>
          <w:tcPr>
            <w:tcW w:type="dxa" w:w="2160"/>
          </w:tcPr>
          <w:p>
            <w:r>
              <w:t>切换备用节点</w:t>
            </w:r>
          </w:p>
        </w:tc>
        <w:tc>
          <w:tcPr>
            <w:tcW w:type="dxa" w:w="2160"/>
          </w:tcPr>
          <w:p>
            <w:r>
              <w:t>守望者→铁匠</w:t>
            </w:r>
          </w:p>
        </w:tc>
      </w:tr>
      <w:tr>
        <w:tc>
          <w:tcPr>
            <w:tcW w:type="dxa" w:w="2160"/>
          </w:tcPr>
          <w:p>
            <w:r>
              <w:t>盲区监测</w:t>
            </w:r>
          </w:p>
        </w:tc>
        <w:tc>
          <w:tcPr>
            <w:tcW w:type="dxa" w:w="2160"/>
          </w:tcPr>
          <w:p>
            <w:r>
              <w:t>数据正常</w:t>
            </w:r>
          </w:p>
        </w:tc>
        <w:tc>
          <w:tcPr>
            <w:tcW w:type="dxa" w:w="2160"/>
          </w:tcPr>
          <w:p>
            <w:r>
              <w:t>人工巡检确认</w:t>
            </w:r>
          </w:p>
        </w:tc>
        <w:tc>
          <w:tcPr>
            <w:tcW w:type="dxa" w:w="2160"/>
          </w:tcPr>
          <w:p>
            <w:r>
              <w:t>守望者→听风者</w:t>
            </w:r>
          </w:p>
        </w:tc>
      </w:tr>
      <w:tr>
        <w:tc>
          <w:tcPr>
            <w:tcW w:type="dxa" w:w="2160"/>
          </w:tcPr>
          <w:p>
            <w:r>
              <w:t>温存状态</w:t>
            </w:r>
          </w:p>
        </w:tc>
        <w:tc>
          <w:tcPr>
            <w:tcW w:type="dxa" w:w="2160"/>
          </w:tcPr>
          <w:p>
            <w:r>
              <w:t>参数正确</w:t>
            </w:r>
          </w:p>
        </w:tc>
        <w:tc>
          <w:tcPr>
            <w:tcW w:type="dxa" w:w="2160"/>
          </w:tcPr>
          <w:p>
            <w:r>
              <w:t>重新设定参数</w:t>
            </w:r>
          </w:p>
        </w:tc>
        <w:tc>
          <w:tcPr>
            <w:tcW w:type="dxa" w:w="2160"/>
          </w:tcPr>
          <w:p>
            <w:r>
              <w:t>守望者→千机匣</w:t>
            </w:r>
          </w:p>
        </w:tc>
      </w:tr>
    </w:tbl>
    <w:p/>
    <w:p>
      <w:pPr>
        <w:pStyle w:val="Heading2"/>
      </w:pPr>
      <w:r>
        <w:t>四、交接班要求</w:t>
      </w:r>
    </w:p>
    <w:p>
      <w:r>
        <w:t>交接班必须在整点进行，交班守望者须向接班人员详细说明：当前嗡鸣度水平及趋势、已知盲区分布、温存参数状态、待处理异常事件、看门狗监控状态、事件编号与责任人。交接双方共同签字确认后方可离岗；所有未闭环事项必须写明下一步动作与截止时间。如遇异常状况正在处理中，交班人员须协助完成关键说明并在通天塔事件面板完成交接后方可离岗。</w:t>
      </w:r>
    </w:p>
    <w:p>
      <w:pPr>
        <w:pStyle w:val="Heading2"/>
      </w:pPr>
      <w:r>
        <w:t>五、应急响应</w:t>
      </w:r>
    </w:p>
    <w:p>
      <w:r>
        <w:t>值班期间如发现嗡鸣度突破红线，守望者应立即创建事件编号并通知判官系统评估是否需要锁龙井、分流或泄洪。如检测到幽灵读数，使用照妖镜进行二次确认。发生断流或回流事件，立即启动紧急预案并上报渡鸦团队调查原因；涉及快审的操作须补录原因码与审批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5C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2E5C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